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ind w:left="0" w:right="0" w:firstLine="480"/>
        <w:jc w:val="center"/>
        <w:keepLines w:val="0"/>
        <w:keepNext w:val="0"/>
        <w:spacing w:before="120" w:beforeAutospacing="0" w:after="120" w:afterAutospacing="0" w:line="360" w:lineRule="auto"/>
        <w:widowControl w:val="off"/>
        <w:rPr>
          <w:rFonts w:hint="eastAsia" w:ascii="Arial" w:hAnsi="Arial" w:eastAsia="黑体" w:cs="Times New Roman"/>
          <w:b/>
          <w:bCs/>
          <w:sz w:val="84"/>
          <w:szCs w:val="84"/>
        </w:rPr>
        <w:suppressLineNumbers w:val="0"/>
      </w:pPr>
      <w:r>
        <w:rPr>
          <w:rFonts w:hint="eastAsia" w:ascii="黑体" w:hAnsi="宋体" w:eastAsia="黑体" w:cs="黑体"/>
          <w:b/>
          <w:bCs/>
          <w:sz w:val="84"/>
          <w:szCs w:val="84"/>
          <w:lang w:val="en-US" w:eastAsia="zh-CN" w:bidi="ar"/>
        </w:rPr>
        <w:t xml:space="preserve">招 标 文 件</w:t>
      </w:r>
      <w:r/>
    </w:p>
    <w:p>
      <w:pPr>
        <w:ind w:left="0" w:right="0" w:firstLine="1506"/>
        <w:jc w:val="both"/>
        <w:keepLines w:val="0"/>
        <w:keepNext w:val="0"/>
        <w:spacing w:before="0" w:beforeAutospacing="0" w:after="0" w:afterAutospacing="0"/>
        <w:widowControl w:val="off"/>
        <w:rPr>
          <w:rFonts w:hint="default" w:ascii="Times New Roman" w:hAnsi="Times New Roman" w:cs="Times New Roman"/>
          <w:b/>
          <w:bCs w:val="0"/>
          <w:sz w:val="30"/>
          <w:szCs w:val="30"/>
        </w:rPr>
        <w:suppressLineNumbers w:val="0"/>
      </w:pPr>
      <w:r>
        <w:rPr>
          <w:rFonts w:hint="eastAsia" w:ascii="宋体" w:hAnsi="宋体" w:eastAsia="宋体" w:cs="宋体"/>
          <w:b/>
          <w:bCs w:val="0"/>
          <w:sz w:val="30"/>
          <w:szCs w:val="30"/>
          <w:lang w:val="en-US" w:eastAsia="zh-CN" w:bidi="ar"/>
        </w:rPr>
        <w:t xml:space="preserve">项目名称：南京市第</w:t>
      </w:r>
      <w:r>
        <w:rPr>
          <w:rFonts w:hint="default" w:ascii="Times New Roman" w:hAnsi="Times New Roman" w:eastAsia="宋体" w:cs="Times New Roman"/>
          <w:b/>
          <w:bCs w:val="0"/>
          <w:sz w:val="30"/>
          <w:szCs w:val="30"/>
          <w:lang w:val="en-US" w:eastAsia="zh-CN" w:bidi="ar"/>
        </w:rPr>
        <w:t xml:space="preserve">29</w:t>
      </w:r>
      <w:r>
        <w:rPr>
          <w:rFonts w:hint="eastAsia" w:ascii="宋体" w:hAnsi="宋体" w:eastAsia="宋体" w:cs="宋体"/>
          <w:b/>
          <w:bCs w:val="0"/>
          <w:sz w:val="30"/>
          <w:szCs w:val="30"/>
          <w:lang w:val="en-US" w:eastAsia="zh-CN" w:bidi="ar"/>
        </w:rPr>
        <w:t xml:space="preserve">中学新校区多媒体教学设备</w:t>
      </w:r>
      <w:r/>
    </w:p>
    <w:p>
      <w:pPr>
        <w:ind w:left="0" w:right="0" w:firstLine="1506"/>
        <w:jc w:val="both"/>
        <w:keepLines w:val="0"/>
        <w:keepNext w:val="0"/>
        <w:spacing w:before="0" w:beforeAutospacing="0" w:after="0" w:afterAutospacing="0"/>
        <w:widowControl w:val="off"/>
        <w:rPr>
          <w:rFonts w:hint="default" w:ascii="宋体" w:hAnsi="宋体" w:eastAsia="宋体" w:cs="宋体"/>
          <w:b/>
          <w:bCs w:val="0"/>
          <w:color w:val="ff0000"/>
          <w:sz w:val="30"/>
          <w:szCs w:val="30"/>
          <w:lang w:val="en-US"/>
        </w:rPr>
        <w:suppressLineNumbers w:val="0"/>
      </w:pPr>
      <w:r>
        <w:rPr>
          <w:rFonts w:hint="eastAsia" w:ascii="宋体" w:hAnsi="宋体" w:eastAsia="宋体" w:cs="宋体"/>
          <w:b/>
          <w:bCs w:val="0"/>
          <w:sz w:val="30"/>
          <w:szCs w:val="30"/>
          <w:lang w:val="en-US" w:eastAsia="zh-CN" w:bidi="ar"/>
        </w:rPr>
        <w:t xml:space="preserve">项目编号：</w:t>
      </w:r>
      <w:r>
        <w:rPr>
          <w:rFonts w:hint="default" w:ascii="Times New Roman" w:hAnsi="Times New Roman" w:eastAsia="宋体" w:cs="Times New Roman"/>
          <w:b/>
          <w:bCs w:val="0"/>
          <w:color w:val="auto"/>
          <w:sz w:val="32"/>
          <w:szCs w:val="32"/>
          <w:lang w:val="en-US" w:eastAsia="zh-CN" w:bidi="ar"/>
        </w:rPr>
        <w:t xml:space="preserve">JSZC-320100-JZCG-G2025-</w:t>
      </w:r>
      <w:r>
        <w:rPr>
          <w:rFonts w:hint="eastAsia" w:cs="Times New Roman"/>
          <w:b/>
          <w:bCs w:val="0"/>
          <w:color w:val="auto"/>
          <w:sz w:val="32"/>
          <w:szCs w:val="32"/>
          <w:lang w:val="en-US" w:eastAsia="zh-CN" w:bidi="ar"/>
        </w:rPr>
        <w:t xml:space="preserve">0431</w:t>
      </w:r>
      <w:r/>
    </w:p>
    <w:p>
      <w:pPr>
        <w:ind w:left="0" w:right="0"/>
        <w:jc w:val="center"/>
        <w:keepLines w:val="0"/>
        <w:keepNext w:val="0"/>
        <w:spacing w:before="0" w:beforeAutospacing="0" w:after="0" w:afterAutospacing="0"/>
        <w:widowControl w:val="off"/>
        <w:rPr>
          <w:rFonts w:hint="eastAsia" w:ascii="宋体" w:hAnsi="宋体" w:eastAsia="宋体" w:cs="宋体"/>
          <w:b/>
          <w:bCs w:val="0"/>
          <w:sz w:val="30"/>
          <w:szCs w:val="30"/>
        </w:rPr>
        <w:suppressLineNumbers w:val="0"/>
      </w:pPr>
      <w:r>
        <w:rPr>
          <w:rFonts w:hint="eastAsia" w:ascii="宋体" w:hAnsi="宋体" w:eastAsia="宋体" w:cs="宋体"/>
          <w:b/>
          <w:bCs w:val="0"/>
          <w:sz w:val="30"/>
          <w:szCs w:val="30"/>
          <w:lang w:val="en-US" w:eastAsia="zh-CN" w:bidi="ar"/>
        </w:rPr>
        <w:t xml:space="preserve">（</w:t>
      </w:r>
      <w:r>
        <w:rPr>
          <w:rFonts w:hint="eastAsia" w:ascii="宋体" w:hAnsi="宋体" w:eastAsia="宋体" w:cs="宋体"/>
          <w:b/>
          <w:bCs/>
          <w:sz w:val="30"/>
          <w:szCs w:val="30"/>
          <w:lang w:val="en-US" w:eastAsia="zh-CN" w:bidi="ar"/>
        </w:rPr>
        <w:t xml:space="preserve">非专门</w:t>
      </w:r>
      <w:r>
        <w:rPr>
          <w:rFonts w:hint="eastAsia" w:ascii="宋体" w:hAnsi="宋体" w:eastAsia="宋体" w:cs="宋体"/>
          <w:b/>
          <w:bCs w:val="0"/>
          <w:sz w:val="30"/>
          <w:szCs w:val="30"/>
          <w:lang w:val="en-US" w:eastAsia="zh-CN" w:bidi="ar"/>
        </w:rPr>
        <w:t xml:space="preserve">面向中小企业）</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 </w:t>
      </w:r>
      <w:r/>
    </w:p>
    <w:p>
      <w:pPr>
        <w:pStyle w:val="721"/>
        <w:ind w:left="0" w:right="0" w:firstLine="0"/>
        <w:jc w:val="center"/>
        <w:keepLines w:val="0"/>
        <w:keepNext w:val="0"/>
        <w:spacing w:before="120" w:beforeAutospacing="0" w:after="120" w:afterAutospacing="0" w:line="360" w:lineRule="auto"/>
        <w:widowControl w:val="off"/>
        <w:rPr>
          <w:rFonts w:hint="eastAsia" w:ascii="Arial" w:hAnsi="Arial" w:eastAsia="宋体" w:cs="Times New Roman"/>
          <w:b/>
          <w:bCs/>
          <w:sz w:val="32"/>
          <w:szCs w:val="32"/>
        </w:rPr>
        <w:suppressLineNumbers w:val="0"/>
      </w:pPr>
      <w:r>
        <w:rPr>
          <w:rFonts w:hint="eastAsia" w:ascii="宋体" w:hAnsi="宋体" w:eastAsia="宋体" w:cs="宋体"/>
          <w:b/>
          <w:bCs/>
          <w:sz w:val="32"/>
          <w:szCs w:val="32"/>
          <w:lang w:val="en-US" w:eastAsia="zh-CN" w:bidi="ar"/>
        </w:rPr>
        <w:t xml:space="preserve">南京市公共资源交易中心</w:t>
      </w:r>
      <w:r/>
    </w:p>
    <w:p>
      <w:pPr>
        <w:ind w:left="0" w:right="0"/>
        <w:jc w:val="center"/>
        <w:keepLines w:val="0"/>
        <w:keepNext w:val="0"/>
        <w:spacing w:before="0" w:beforeAutospacing="0" w:after="0" w:afterAutospacing="0"/>
        <w:widowControl w:val="off"/>
        <w:rPr>
          <w:rFonts w:hint="eastAsia" w:ascii="宋体" w:hAnsi="宋体" w:eastAsia="宋体" w:cs="宋体"/>
          <w:b/>
          <w:bCs w:val="0"/>
          <w:sz w:val="32"/>
          <w:szCs w:val="32"/>
        </w:rPr>
        <w:suppressLineNumbers w:val="0"/>
      </w:pPr>
      <w:r>
        <w:rPr>
          <w:rFonts w:hint="default" w:ascii="Times New Roman" w:hAnsi="Times New Roman" w:eastAsia="宋体" w:cs="Times New Roman"/>
          <w:b/>
          <w:bCs w:val="0"/>
          <w:sz w:val="32"/>
          <w:szCs w:val="32"/>
          <w:lang w:val="en-US" w:eastAsia="zh-CN" w:bidi="ar"/>
        </w:rPr>
        <w:t xml:space="preserve">2025</w:t>
      </w:r>
      <w:r>
        <w:rPr>
          <w:rFonts w:hint="eastAsia" w:ascii="宋体" w:hAnsi="宋体" w:eastAsia="宋体" w:cs="宋体"/>
          <w:b/>
          <w:bCs w:val="0"/>
          <w:sz w:val="32"/>
          <w:szCs w:val="32"/>
          <w:lang w:val="en-US" w:eastAsia="zh-CN" w:bidi="ar"/>
        </w:rPr>
        <w:t xml:space="preserve">年</w:t>
      </w:r>
      <w:r>
        <w:rPr>
          <w:rFonts w:hint="default" w:ascii="Times New Roman" w:hAnsi="Times New Roman" w:eastAsia="宋体" w:cs="Times New Roman"/>
          <w:b/>
          <w:bCs w:val="0"/>
          <w:sz w:val="32"/>
          <w:szCs w:val="32"/>
          <w:lang w:val="en-US" w:eastAsia="zh-CN" w:bidi="ar"/>
        </w:rPr>
        <w:t xml:space="preserve">11</w:t>
      </w:r>
      <w:r>
        <w:rPr>
          <w:rFonts w:hint="eastAsia" w:ascii="宋体" w:hAnsi="宋体" w:eastAsia="宋体" w:cs="宋体"/>
          <w:b/>
          <w:bCs w:val="0"/>
          <w:sz w:val="32"/>
          <w:szCs w:val="32"/>
          <w:lang w:val="en-US" w:eastAsia="zh-CN" w:bidi="ar"/>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52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55</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受南京市鼓楼区教育局（采购单位）委托，南京市公共资源交易中心（以下简称“交易中心”）就南京市第29中学新校区多媒体教学设备（项目名称）进行公开招标采购，欢迎符合条件的供应商投标。</w:t>
      </w:r>
      <w:r/>
    </w:p>
    <w:p>
      <w:pPr>
        <w:pStyle w:val="691"/>
        <w:ind w:left="0" w:firstLine="465"/>
        <w:spacing w:before="145" w:beforeAutospacing="0" w:after="145" w:afterAutospacing="0" w:line="264" w:lineRule="auto"/>
        <w:widowControl/>
        <w:rPr>
          <w:rFonts w:hint="default" w:ascii="方正黑体_GBK" w:hAnsi="方正黑体_GBK" w:eastAsia="方正黑体_GBK" w:cs="方正黑体_GBK"/>
          <w:b w:val="0"/>
          <w:bCs w:val="0"/>
          <w:sz w:val="30"/>
          <w:szCs w:val="30"/>
        </w:rPr>
      </w:pPr>
      <w:r>
        <w:rPr>
          <w:rFonts w:hint="default" w:ascii="方正黑体_GBK" w:hAnsi="方正黑体_GBK" w:eastAsia="方正黑体_GBK" w:cs="方正黑体_GBK"/>
          <w:b w:val="0"/>
          <w:bCs w:val="0"/>
          <w:sz w:val="30"/>
          <w:szCs w:val="30"/>
        </w:rPr>
        <w:t xml:space="preserve">一、项目基本情况</w:t>
      </w:r>
      <w:r/>
    </w:p>
    <w:p>
      <w:pPr>
        <w:ind w:left="0" w:right="0" w:firstLine="480"/>
        <w:jc w:val="both"/>
        <w:keepLines w:val="0"/>
        <w:keepNext w:val="0"/>
        <w:spacing w:before="0" w:beforeAutospacing="0" w:after="0" w:afterAutospacing="0" w:line="264" w:lineRule="auto"/>
        <w:widowControl w:val="off"/>
        <w:rPr>
          <w:rFonts w:hint="default" w:ascii="宋体" w:hAnsi="宋体" w:eastAsia="宋体" w:cs="宋体"/>
          <w:color w:val="0000ff"/>
          <w:sz w:val="24"/>
          <w:szCs w:val="24"/>
          <w:lang w:val="en-US"/>
        </w:rPr>
        <w:suppressLineNumbers w:val="0"/>
      </w:pPr>
      <w:r>
        <w:rPr>
          <w:rFonts w:hint="eastAsia" w:ascii="宋体" w:hAnsi="宋体" w:eastAsia="宋体" w:cs="宋体"/>
          <w:sz w:val="24"/>
          <w:szCs w:val="24"/>
          <w:lang w:val="en-US" w:eastAsia="zh-CN" w:bidi="ar"/>
        </w:rPr>
        <w:t xml:space="preserve">1.项目编号：JSZC-320100-JZCG-G2025-0431</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2.项目名称：南京市第29中学新校区多媒体教学设备</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3.预算金额：928万元</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4.最高限价：本项目不设最高限价</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采购需求（简介）：南京市第29中学新校区多媒体教学设备采购，主要是新校区各教室的录播系统、扩声系统、中控系统、互动教学系统、教学平台、数智作业服务系统及配套的电脑桌椅等（详细内容见本招标文件第四章） </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6.合同履行期限：60天</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7.本项目不接受进口产品投标</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8.本项目不接受联合体投标</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6" w:name="_Toc28359003"/>
      <w:r/>
      <w:bookmarkStart w:id="7" w:name="_Toc28359080"/>
      <w:r/>
      <w:bookmarkStart w:id="8" w:name="_Toc38985264"/>
      <w:r/>
      <w:bookmarkStart w:id="9" w:name="_Toc35393791"/>
      <w:r/>
      <w:bookmarkStart w:id="10" w:name="_Toc35393622"/>
      <w:r>
        <w:rPr>
          <w:rFonts w:hint="eastAsia" w:ascii="方正黑体_GBK" w:hAnsi="方正黑体_GBK" w:eastAsia="方正黑体_GBK" w:cs="方正黑体_GBK"/>
          <w:b w:val="0"/>
          <w:bCs w:val="0"/>
          <w:color w:val="000000"/>
          <w:sz w:val="30"/>
          <w:szCs w:val="30"/>
        </w:rPr>
        <w:t xml:space="preserve">二、申请人的资格要求</w:t>
      </w:r>
      <w:bookmarkEnd w:id="6"/>
      <w:r/>
      <w:bookmarkEnd w:id="7"/>
      <w:r/>
      <w:bookmarkEnd w:id="8"/>
      <w:r/>
      <w:bookmarkEnd w:id="9"/>
      <w:r/>
      <w:bookmarkEnd w:id="10"/>
      <w:r/>
      <w:r/>
    </w:p>
    <w:p>
      <w:pPr>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1" w:name="_Toc35393623"/>
      <w:r/>
      <w:bookmarkStart w:id="12" w:name="_Toc35393792"/>
      <w:r/>
      <w:bookmarkStart w:id="13" w:name="_Toc28359004"/>
      <w:r/>
      <w:bookmarkStart w:id="14" w:name="_Toc38985265"/>
      <w:r/>
      <w:bookmarkStart w:id="15"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color w:val="000000"/>
          <w:sz w:val="24"/>
          <w:szCs w:val="24"/>
          <w:lang w:val="zh-CN"/>
        </w:rPr>
      </w:pPr>
      <w:r>
        <w:rPr>
          <w:rFonts w:hint="eastAsia" w:ascii="宋体" w:hAnsi="宋体"/>
          <w:color w:val="000000"/>
          <w:sz w:val="24"/>
          <w:szCs w:val="24"/>
        </w:rPr>
        <w:t xml:space="preserve">2.落实政府采购政策需满足的资格要求：无。</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工业。</w:t>
      </w:r>
      <w:r>
        <w:rPr>
          <w:rFonts w:hint="eastAsia" w:ascii="宋体" w:hAnsi="宋体" w:eastAsia="宋体" w:cs="Times New Roman"/>
          <w:color w:val="000000"/>
          <w:sz w:val="24"/>
          <w:szCs w:val="24"/>
          <w:u w:val="none"/>
          <w:lang w:val="en-US" w:eastAsia="zh-CN"/>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7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1"/>
      <w:r/>
      <w:bookmarkEnd w:id="12"/>
      <w:r/>
      <w:bookmarkEnd w:id="13"/>
      <w:r/>
      <w:bookmarkEnd w:id="14"/>
      <w:r/>
      <w:bookmarkEnd w:id="15"/>
      <w:r/>
      <w:r/>
    </w:p>
    <w:p>
      <w:pPr>
        <w:ind w:firstLine="480"/>
        <w:pageBreakBefore w:val="0"/>
        <w:spacing w:line="252" w:lineRule="auto"/>
        <w:widowControl w:val="off"/>
        <w:rPr>
          <w:rFonts w:ascii="宋体" w:hAnsi="宋体" w:cs="宋体"/>
          <w:color w:val="000000"/>
          <w:sz w:val="24"/>
          <w:szCs w:val="24"/>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color w:val="000000"/>
          <w:sz w:val="24"/>
          <w:szCs w:val="24"/>
        </w:rPr>
        <w:t xml:space="preserve">1.时间：自招标文件公告发布之日起。</w:t>
      </w:r>
      <w:r/>
    </w:p>
    <w:p>
      <w:pPr>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87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16"/>
      <w:r/>
      <w:bookmarkEnd w:id="17"/>
      <w:r>
        <w:rPr>
          <w:rFonts w:hint="eastAsia" w:ascii="方正黑体_GBK" w:hAnsi="方正黑体_GBK" w:eastAsia="方正黑体_GBK" w:cs="方正黑体_GBK"/>
          <w:b w:val="0"/>
          <w:bCs w:val="0"/>
          <w:color w:val="000000"/>
          <w:sz w:val="30"/>
          <w:szCs w:val="30"/>
        </w:rPr>
        <w:t xml:space="preserve">截止时间、开标时间和地点</w:t>
      </w:r>
      <w:bookmarkEnd w:id="18"/>
      <w:r/>
      <w:bookmarkEnd w:id="19"/>
      <w:r/>
      <w:bookmarkEnd w:id="20"/>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lang w:val="en-US" w:eastAsia="zh-CN"/>
        </w:rPr>
        <w:t xml:space="preserve">2</w:t>
      </w:r>
      <w:r>
        <w:rPr>
          <w:rFonts w:hint="eastAsia" w:ascii="宋体" w:hAnsi="宋体"/>
          <w:bCs/>
          <w:color w:val="000000"/>
          <w:sz w:val="24"/>
          <w:szCs w:val="24"/>
          <w:u w:val="none"/>
        </w:rPr>
        <w:t xml:space="preserve">月</w:t>
      </w:r>
      <w:r>
        <w:rPr>
          <w:rFonts w:hint="eastAsia" w:ascii="宋体" w:hAnsi="宋体" w:cs="宋体"/>
          <w:color w:val="000000"/>
          <w:sz w:val="24"/>
          <w:szCs w:val="24"/>
          <w:highlight w:val="none"/>
          <w:u w:val="none"/>
          <w:lang w:val="en-US" w:eastAsia="zh-CN"/>
        </w:rPr>
        <w:t xml:space="preserve">3</w:t>
      </w:r>
      <w:r>
        <w:rPr>
          <w:rFonts w:hint="eastAsia" w:ascii="宋体" w:hAnsi="宋体"/>
          <w:bCs/>
          <w:color w:val="000000"/>
          <w:sz w:val="24"/>
          <w:szCs w:val="24"/>
          <w:u w:val="none"/>
        </w:rPr>
        <w:t xml:space="preserve">日14</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 </w:t>
      </w:r>
      <w:r/>
    </w:p>
    <w:p>
      <w:pPr>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87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21" w:name="_Toc35393794"/>
      <w:r/>
      <w:bookmarkStart w:id="22" w:name="_Toc38985267"/>
      <w:r/>
      <w:bookmarkStart w:id="23" w:name="_Toc28359007"/>
      <w:r/>
      <w:bookmarkStart w:id="24" w:name="_Toc28359084"/>
      <w:r/>
      <w:bookmarkStart w:id="25" w:name="_Toc35393625"/>
      <w:r>
        <w:rPr>
          <w:rFonts w:hint="eastAsia" w:ascii="方正黑体_GBK" w:hAnsi="方正黑体_GBK" w:eastAsia="方正黑体_GBK" w:cs="方正黑体_GBK"/>
          <w:b w:val="0"/>
          <w:bCs w:val="0"/>
          <w:color w:val="000000"/>
          <w:sz w:val="30"/>
          <w:szCs w:val="30"/>
        </w:rPr>
        <w:t xml:space="preserve">五、公告期限</w:t>
      </w:r>
      <w:bookmarkEnd w:id="21"/>
      <w:r/>
      <w:bookmarkEnd w:id="22"/>
      <w:r/>
      <w:bookmarkEnd w:id="23"/>
      <w:r/>
      <w:bookmarkEnd w:id="24"/>
      <w:r/>
      <w:bookmarkEnd w:id="25"/>
      <w:r/>
      <w:r/>
    </w:p>
    <w:p>
      <w:pPr>
        <w:ind w:firstLine="480"/>
        <w:pageBreakBefore w:val="0"/>
        <w:spacing w:line="252" w:lineRule="auto"/>
        <w:widowControl w:val="off"/>
        <w:rPr>
          <w:rFonts w:ascii="宋体" w:hAnsi="宋体" w:cs="宋体"/>
          <w:color w:val="000000"/>
          <w:sz w:val="24"/>
          <w:szCs w:val="24"/>
        </w:rPr>
      </w:pPr>
      <w:r/>
      <w:bookmarkStart w:id="26" w:name="_Toc38985268"/>
      <w:r/>
      <w:bookmarkStart w:id="27" w:name="_Toc35393626"/>
      <w:r/>
      <w:bookmarkStart w:id="28" w:name="_Toc35393795"/>
      <w:r>
        <w:rPr>
          <w:rFonts w:hint="eastAsia" w:ascii="宋体" w:hAnsi="宋体" w:cs="宋体"/>
          <w:color w:val="000000"/>
          <w:sz w:val="24"/>
          <w:szCs w:val="24"/>
        </w:rPr>
        <w:t xml:space="preserve">公告期限为自本公告发布之日起5个工作日。</w:t>
      </w:r>
      <w:r/>
    </w:p>
    <w:p>
      <w:pPr>
        <w:pStyle w:val="87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26"/>
      <w:r/>
      <w:bookmarkEnd w:id="27"/>
      <w:r/>
      <w:bookmarkEnd w:id="28"/>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29" w:name="_Toc28359008"/>
      <w:r/>
      <w:bookmarkStart w:id="30" w:name="_Toc35393796"/>
      <w:r/>
      <w:bookmarkStart w:id="31" w:name="_Toc35393627"/>
      <w:r/>
      <w:bookmarkStart w:id="32" w:name="_Toc38985269"/>
      <w:r/>
      <w:bookmarkStart w:id="33"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9"/>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en-US"/>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p>
    <w:p>
      <w:pPr>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en-US"/>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p>
    <w:p>
      <w:pPr>
        <w:pStyle w:val="87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29"/>
      <w:r/>
      <w:bookmarkEnd w:id="30"/>
      <w:r/>
      <w:bookmarkEnd w:id="31"/>
      <w:r/>
      <w:bookmarkEnd w:id="32"/>
      <w:r/>
      <w:bookmarkEnd w:id="33"/>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34" w:name="_Toc28359009"/>
      <w:r/>
      <w:bookmarkStart w:id="35" w:name="_Toc28359086"/>
      <w:r>
        <w:rPr>
          <w:rFonts w:hint="eastAsia" w:ascii="宋体" w:hAnsi="宋体" w:eastAsia="宋体" w:cs="Times New Roman"/>
          <w:color w:val="000000"/>
          <w:sz w:val="24"/>
          <w:szCs w:val="24"/>
          <w:u w:val="none"/>
          <w:lang w:val="en-US" w:eastAsia="zh-CN"/>
        </w:rPr>
        <w:t xml:space="preserve">名  称：南京市鼓楼区教育局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址：南京市鼓楼区中山北路540号下关大厦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万</w:t>
      </w:r>
      <w:r>
        <w:rPr>
          <w:rFonts w:hint="eastAsia" w:ascii="宋体" w:hAnsi="宋体" w:eastAsia="宋体" w:cs="Times New Roman"/>
          <w:color w:val="000000"/>
          <w:sz w:val="24"/>
          <w:szCs w:val="24"/>
          <w:u w:val="none"/>
          <w:lang w:val="en-US" w:eastAsia="zh-CN"/>
        </w:rPr>
        <w:t xml:space="preserve">老师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联系电话：025-83230037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34"/>
      <w:r/>
      <w:bookmarkEnd w:id="35"/>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高</w:t>
      </w:r>
      <w:r>
        <w:rPr>
          <w:rFonts w:hint="eastAsia" w:ascii="宋体" w:hAnsi="宋体" w:eastAsia="宋体" w:cs="Times New Roman"/>
          <w:color w:val="000000"/>
          <w:sz w:val="24"/>
          <w:szCs w:val="24"/>
          <w:u w:val="none"/>
          <w:lang w:val="en-US" w:eastAsia="zh-CN"/>
        </w:rPr>
        <w:t xml:space="preserve">先生</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w:t>
      </w:r>
      <w:r>
        <w:rPr>
          <w:rFonts w:hint="eastAsia" w:ascii="宋体" w:hAnsi="宋体" w:cs="Times New Roman"/>
          <w:color w:val="000000"/>
          <w:sz w:val="24"/>
          <w:szCs w:val="24"/>
          <w:u w:val="none"/>
          <w:lang w:val="en-US" w:eastAsia="zh-CN"/>
        </w:rPr>
        <w:t xml:space="preserve">23</w:t>
      </w:r>
      <w:r>
        <w:rPr>
          <w:rFonts w:hint="eastAsia" w:ascii="宋体" w:hAnsi="宋体" w:eastAsia="宋体" w:cs="Times New Roman"/>
          <w:color w:val="000000"/>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36"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36"/>
      <w:r/>
      <w:bookmarkStart w:id="37" w:name="_Toc120614213"/>
      <w:r/>
      <w:bookmarkStart w:id="38" w:name="_Toc16938518"/>
      <w:r/>
      <w:bookmarkStart w:id="39" w:name="_Toc513029202"/>
      <w:r/>
      <w:bookmarkStart w:id="40" w:name="_Toc20823274"/>
      <w:r>
        <w:rPr>
          <w:rFonts w:hint="eastAsia" w:ascii="方正小标宋简体" w:hAnsi="方正小标宋简体" w:eastAsia="方正小标宋简体" w:cs="方正小标宋简体"/>
          <w:color w:val="000000"/>
          <w:sz w:val="36"/>
          <w:szCs w:val="36"/>
        </w:rPr>
        <w:t xml:space="preserve">投标人须知</w:t>
      </w:r>
      <w:bookmarkEnd w:id="37"/>
      <w:r/>
      <w:bookmarkEnd w:id="38"/>
      <w:r/>
      <w:bookmarkEnd w:id="39"/>
      <w:r/>
      <w:bookmarkEnd w:id="40"/>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1" w:name="_Toc20823275"/>
      <w:r/>
      <w:bookmarkStart w:id="42" w:name="_Toc120614214"/>
      <w:r/>
      <w:bookmarkStart w:id="43" w:name="_Toc513029203"/>
      <w:r/>
      <w:bookmarkStart w:id="44" w:name="_Toc16938519"/>
      <w:r/>
      <w:bookmarkStart w:id="45" w:name="_Toc513029242"/>
      <w:r/>
      <w:bookmarkStart w:id="46" w:name="_Toc120614221"/>
      <w:r/>
      <w:bookmarkStart w:id="47" w:name="_Toc479757207"/>
      <w:r/>
      <w:bookmarkStart w:id="48" w:name="_Toc16938558"/>
      <w:r/>
      <w:bookmarkStart w:id="49" w:name="_Toc20823314"/>
      <w:r>
        <w:rPr>
          <w:rFonts w:hint="eastAsia" w:ascii="方正黑体_GBK" w:hAnsi="方正黑体_GBK" w:eastAsia="方正黑体_GBK" w:cs="方正黑体_GBK"/>
          <w:b w:val="0"/>
          <w:bCs w:val="0"/>
          <w:color w:val="000000"/>
          <w:sz w:val="30"/>
          <w:szCs w:val="30"/>
        </w:rPr>
        <w:t xml:space="preserve">一、总则</w:t>
      </w:r>
      <w:bookmarkEnd w:id="41"/>
      <w:r/>
      <w:bookmarkEnd w:id="42"/>
      <w:r/>
      <w:bookmarkEnd w:id="43"/>
      <w:r/>
      <w:bookmarkEnd w:id="44"/>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50" w:name="_Hlt16619475"/>
      <w:r/>
      <w:bookmarkEnd w:id="50"/>
      <w:r/>
      <w:bookmarkStart w:id="51" w:name="_Toc458694821"/>
      <w:r/>
      <w:bookmarkStart w:id="52" w:name="_Toc16938520"/>
      <w:r/>
      <w:bookmarkStart w:id="53" w:name="_Toc20823276"/>
      <w:r/>
      <w:bookmarkStart w:id="54" w:name="_Toc513029204"/>
      <w:r>
        <w:rPr>
          <w:rFonts w:hint="eastAsia" w:ascii="方正楷体_GBK" w:hAnsi="方正楷体_GBK" w:eastAsia="方正楷体_GBK" w:cs="方正楷体_GBK"/>
          <w:b/>
          <w:bCs/>
        </w:rPr>
        <w:t xml:space="preserve">1</w:t>
      </w:r>
      <w:bookmarkEnd w:id="51"/>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2"/>
      <w:r/>
      <w:bookmarkEnd w:id="53"/>
      <w:r/>
      <w:bookmarkEnd w:id="5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55" w:name="_Toc16938521"/>
      <w:r/>
      <w:bookmarkStart w:id="56" w:name="_Toc20823277"/>
      <w:r/>
      <w:bookmarkStart w:id="57"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55"/>
      <w:r/>
      <w:bookmarkEnd w:id="56"/>
      <w:r/>
      <w:bookmarkEnd w:id="5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58" w:name="_Toc20823278"/>
      <w:r/>
      <w:bookmarkStart w:id="59" w:name="_Toc16938522"/>
      <w:r/>
      <w:bookmarkStart w:id="60"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3"/>
      <w:r/>
      <w:bookmarkStart w:id="62" w:name="_Toc20823279"/>
      <w:r/>
      <w:bookmarkStart w:id="63" w:name="_Toc462564067"/>
      <w:r/>
      <w:bookmarkStart w:id="64"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1"/>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5" w:name="_Toc16938525"/>
      <w:r/>
      <w:bookmarkStart w:id="66" w:name="_Toc513029209"/>
      <w:r/>
      <w:bookmarkStart w:id="67" w:name="_Toc120614215"/>
      <w:r/>
      <w:bookmarkStart w:id="68" w:name="_Toc20823281"/>
      <w:r>
        <w:rPr>
          <w:rFonts w:hint="eastAsia" w:ascii="方正黑体_GBK" w:hAnsi="方正黑体_GBK" w:eastAsia="方正黑体_GBK" w:cs="方正黑体_GBK"/>
          <w:b w:val="0"/>
          <w:bCs w:val="0"/>
          <w:color w:val="000000"/>
          <w:sz w:val="30"/>
          <w:szCs w:val="30"/>
        </w:rPr>
        <w:t xml:space="preserve">二、招标文件</w:t>
      </w:r>
      <w:bookmarkEnd w:id="65"/>
      <w:r/>
      <w:bookmarkEnd w:id="66"/>
      <w:r/>
      <w:bookmarkEnd w:id="67"/>
      <w:r/>
      <w:bookmarkEnd w:id="68"/>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69" w:name="_Toc20823282"/>
      <w:r/>
      <w:bookmarkStart w:id="70" w:name="_Toc16938526"/>
      <w:r/>
      <w:bookmarkStart w:id="71"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69"/>
      <w:r/>
      <w:bookmarkEnd w:id="70"/>
      <w:r/>
      <w:bookmarkEnd w:id="7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72" w:name="_Toc513029211"/>
      <w:r/>
      <w:bookmarkStart w:id="73" w:name="_Toc20823283"/>
      <w:r/>
      <w:bookmarkStart w:id="74" w:name="_Toc16938527"/>
      <w:r/>
      <w:bookmarkStart w:id="75"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2"/>
      <w:r/>
      <w:bookmarkEnd w:id="73"/>
      <w:r/>
      <w:bookmarkEnd w:id="74"/>
      <w:r/>
      <w:bookmarkEnd w:id="7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76" w:name="_Toc20823284"/>
      <w:r/>
      <w:bookmarkStart w:id="77" w:name="_Toc462564071"/>
      <w:r/>
      <w:bookmarkStart w:id="78" w:name="_Toc513029212"/>
      <w:r/>
      <w:bookmarkStart w:id="79"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76"/>
      <w:r/>
      <w:bookmarkEnd w:id="77"/>
      <w:r/>
      <w:bookmarkEnd w:id="78"/>
      <w:r/>
      <w:bookmarkEnd w:id="79"/>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0" w:name="_Toc20823285"/>
      <w:r/>
      <w:bookmarkStart w:id="81" w:name="_Toc462564072"/>
      <w:r/>
      <w:bookmarkStart w:id="82" w:name="_Toc513029213"/>
      <w:r/>
      <w:bookmarkStart w:id="83" w:name="_Toc16938529"/>
      <w:r/>
      <w:bookmarkStart w:id="84"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0"/>
      <w:r/>
      <w:bookmarkEnd w:id="81"/>
      <w:r/>
      <w:bookmarkEnd w:id="82"/>
      <w:r/>
      <w:bookmarkEnd w:id="83"/>
      <w:r/>
      <w:bookmarkEnd w:id="84"/>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85" w:name="_Toc513029214"/>
      <w:r/>
      <w:bookmarkStart w:id="86" w:name="_Toc16938530"/>
      <w:r/>
      <w:bookmarkStart w:id="87" w:name="_Toc20823286"/>
      <w:r/>
      <w:bookmarkStart w:id="88"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85"/>
      <w:r/>
      <w:bookmarkEnd w:id="86"/>
      <w:r/>
      <w:bookmarkEnd w:id="87"/>
      <w:r/>
      <w:bookmarkEnd w:id="8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89" w:name="_Toc20823287"/>
      <w:r/>
      <w:bookmarkStart w:id="90" w:name="_Toc513029215"/>
      <w:r/>
      <w:bookmarkStart w:id="91" w:name="_Toc16938531"/>
      <w:r/>
      <w:bookmarkStart w:id="92"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89"/>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6"/>
      <w:r/>
      <w:bookmarkEnd w:id="97"/>
      <w:r/>
      <w:bookmarkEnd w:id="98"/>
      <w:r/>
      <w:bookmarkEnd w:id="99"/>
      <w:r/>
      <w:bookmarkEnd w:id="100"/>
      <w:r/>
      <w:bookmarkEnd w:id="101"/>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2" w:name="_Toc14577355"/>
      <w:r/>
      <w:bookmarkStart w:id="103"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880"/>
        <w:ind w:firstLine="420"/>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2"/>
      <w:r/>
      <w:bookmarkStart w:id="104" w:name="_Hlt26670373"/>
      <w:r/>
      <w:bookmarkEnd w:id="104"/>
      <w:r>
        <w:rPr>
          <w:rFonts w:hint="eastAsia" w:ascii="方正楷体_GBK" w:hAnsi="方正楷体_GBK" w:eastAsia="方正楷体_GBK" w:cs="方正楷体_GBK"/>
          <w:b/>
          <w:bCs/>
        </w:rPr>
        <w:t xml:space="preserve">表</w:t>
      </w:r>
      <w:bookmarkEnd w:id="103"/>
      <w:r>
        <w:rPr>
          <w:rFonts w:hint="eastAsia" w:ascii="方正楷体_GBK" w:hAnsi="方正楷体_GBK" w:eastAsia="方正楷体_GBK" w:cs="方正楷体_GBK"/>
          <w:b/>
          <w:bCs/>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5" w:name="_Hlt26954840"/>
      <w:r/>
      <w:bookmarkEnd w:id="105"/>
      <w:r>
        <w:rPr>
          <w:rFonts w:hint="eastAsia" w:ascii="宋体" w:hAnsi="宋体" w:eastAsia="宋体" w:cs="Times New Roman"/>
          <w:color w:val="000000"/>
          <w:sz w:val="24"/>
        </w:rPr>
        <w:t xml:space="preserve">标人应按照招标文件规定格式填报投标分项报价表</w:t>
      </w:r>
      <w:bookmarkStart w:id="106" w:name="_Hlt26670399"/>
      <w:r/>
      <w:bookmarkEnd w:id="106"/>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07" w:name="_Hlt26954731"/>
      <w:r/>
      <w:bookmarkEnd w:id="107"/>
      <w:r/>
      <w:bookmarkStart w:id="108" w:name="_Hlt26670403"/>
      <w:r/>
      <w:bookmarkEnd w:id="108"/>
      <w:r/>
      <w:bookmarkStart w:id="109" w:name="_Hlt26668983"/>
      <w:r/>
      <w:bookmarkEnd w:id="109"/>
      <w:r/>
      <w:bookmarkStart w:id="110" w:name="_Hlt26954842"/>
      <w:r/>
      <w:bookmarkEnd w:id="110"/>
      <w:r/>
      <w:bookmarkStart w:id="111" w:name="_Hlt26954846"/>
      <w:r/>
      <w:bookmarkEnd w:id="111"/>
      <w:r/>
      <w:bookmarkStart w:id="112" w:name="_Hlt26954848"/>
      <w:r/>
      <w:bookmarkEnd w:id="112"/>
      <w:r/>
      <w:bookmarkStart w:id="113" w:name="_Hlt26670482"/>
      <w:r/>
      <w:bookmarkEnd w:id="113"/>
      <w:r/>
      <w:bookmarkStart w:id="114" w:name="_Hlt26670425"/>
      <w:r/>
      <w:bookmarkEnd w:id="114"/>
      <w:r/>
      <w:bookmarkStart w:id="115" w:name="_Hlt26670486"/>
      <w:r/>
      <w:bookmarkEnd w:id="115"/>
      <w:r/>
      <w:bookmarkStart w:id="116" w:name="_Hlt26954844"/>
      <w:r/>
      <w:bookmarkEnd w:id="116"/>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17" w:name="_Toc49090510"/>
      <w:r/>
      <w:bookmarkStart w:id="118"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17"/>
      <w:r/>
      <w:bookmarkEnd w:id="118"/>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19" w:name="_Hlt26954734"/>
      <w:r/>
      <w:bookmarkEnd w:id="119"/>
      <w:r/>
      <w:bookmarkStart w:id="120" w:name="_Hlt26670489"/>
      <w:r/>
      <w:bookmarkEnd w:id="120"/>
      <w:r/>
      <w:bookmarkStart w:id="121" w:name="_Hlt26954850"/>
      <w:r/>
      <w:bookmarkEnd w:id="121"/>
      <w:r/>
      <w:bookmarkStart w:id="122" w:name="_Toc14577360"/>
      <w:r/>
      <w:bookmarkStart w:id="123"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2"/>
      <w:r/>
      <w:bookmarkEnd w:id="12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4" w:name="_Hlt26954852"/>
      <w:r/>
      <w:bookmarkEnd w:id="124"/>
      <w:r/>
      <w:bookmarkStart w:id="125" w:name="_Hlt26954739"/>
      <w:r/>
      <w:bookmarkEnd w:id="125"/>
      <w:r/>
      <w:bookmarkStart w:id="126" w:name="_Toc120614217"/>
      <w:r/>
      <w:bookmarkStart w:id="127" w:name="_Toc16938540"/>
      <w:r/>
      <w:bookmarkStart w:id="128" w:name="_Toc20823296"/>
      <w:r/>
      <w:bookmarkStart w:id="129" w:name="_Toc513029224"/>
      <w:r>
        <w:rPr>
          <w:rFonts w:hint="eastAsia" w:ascii="方正黑体_GBK" w:hAnsi="方正黑体_GBK" w:eastAsia="方正黑体_GBK" w:cs="方正黑体_GBK"/>
          <w:b w:val="0"/>
          <w:bCs w:val="0"/>
          <w:color w:val="000000"/>
          <w:sz w:val="30"/>
          <w:szCs w:val="30"/>
        </w:rPr>
        <w:t xml:space="preserve">四、投标文件的递交</w:t>
      </w:r>
      <w:bookmarkEnd w:id="126"/>
      <w:r/>
      <w:bookmarkEnd w:id="127"/>
      <w:r/>
      <w:bookmarkEnd w:id="128"/>
      <w:r/>
      <w:bookmarkEnd w:id="129"/>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30" w:name="_Toc16938541"/>
      <w:r/>
      <w:bookmarkStart w:id="131" w:name="_Toc513029225"/>
      <w:r/>
      <w:bookmarkStart w:id="132" w:name="_Toc20823297"/>
      <w:r/>
      <w:bookmarkStart w:id="133"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0"/>
      <w:r/>
      <w:bookmarkEnd w:id="131"/>
      <w:r/>
      <w:bookmarkEnd w:id="132"/>
      <w:r/>
      <w:bookmarkEnd w:id="133"/>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4" w:name="_Toc20823298"/>
      <w:r/>
      <w:bookmarkStart w:id="135" w:name="_Toc513029226"/>
      <w:r/>
      <w:bookmarkStart w:id="136" w:name="_Toc16938542"/>
      <w:r/>
      <w:bookmarkEnd w:id="134"/>
      <w:r/>
      <w:bookmarkEnd w:id="135"/>
      <w:r/>
      <w:bookmarkEnd w:id="13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37" w:name="_Toc20823299"/>
      <w:r/>
      <w:bookmarkStart w:id="138" w:name="_Toc16938543"/>
      <w:r/>
      <w:bookmarkStart w:id="139"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40" w:name="_Toc20823300"/>
      <w:r/>
      <w:bookmarkStart w:id="141" w:name="_Toc513029228"/>
      <w:r/>
      <w:bookmarkStart w:id="142"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3" w:name="_Toc513029229"/>
      <w:r/>
      <w:bookmarkStart w:id="144" w:name="_Toc120614218"/>
      <w:r/>
      <w:bookmarkStart w:id="145" w:name="_Toc20823301"/>
      <w:r/>
      <w:bookmarkStart w:id="146" w:name="_Toc16938545"/>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3"/>
      <w:r/>
      <w:bookmarkEnd w:id="144"/>
      <w:r/>
      <w:bookmarkEnd w:id="145"/>
      <w:r/>
      <w:bookmarkEnd w:id="146"/>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47" w:name="_Toc513029230"/>
      <w:r/>
      <w:bookmarkStart w:id="148" w:name="_Toc16938546"/>
      <w:r/>
      <w:bookmarkStart w:id="149"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50" w:name="_Toc20823303"/>
      <w:r/>
      <w:bookmarkStart w:id="151" w:name="_Toc16938547"/>
      <w:r/>
      <w:bookmarkStart w:id="152"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0"/>
      <w:r/>
      <w:bookmarkEnd w:id="151"/>
      <w:r/>
      <w:bookmarkEnd w:id="15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513029232"/>
      <w:r/>
      <w:bookmarkStart w:id="154" w:name="_Toc20823304"/>
      <w:r/>
      <w:bookmarkStart w:id="155"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80"/>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56" w:name="_Toc513029233"/>
      <w:r/>
      <w:bookmarkStart w:id="157" w:name="_Toc16938549"/>
      <w:r/>
      <w:bookmarkStart w:id="158"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56"/>
      <w:r/>
      <w:bookmarkEnd w:id="157"/>
      <w:r/>
      <w:bookmarkEnd w:id="158"/>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59" w:name="_Toc513029234"/>
      <w:r/>
      <w:bookmarkStart w:id="160" w:name="_Toc16938550"/>
      <w:r/>
      <w:bookmarkStart w:id="161"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59"/>
      <w:r/>
      <w:bookmarkEnd w:id="160"/>
      <w:r/>
      <w:bookmarkEnd w:id="161"/>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2" w:name="_Toc513029235"/>
      <w:r/>
      <w:bookmarkStart w:id="163" w:name="_Toc16938551"/>
      <w:r/>
      <w:bookmarkStart w:id="164"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65" w:name="_Toc120614219"/>
      <w:r>
        <w:rPr>
          <w:rFonts w:hint="eastAsia" w:ascii="方正黑体_GBK" w:hAnsi="方正黑体_GBK" w:eastAsia="方正黑体_GBK" w:cs="方正黑体_GBK"/>
          <w:b w:val="0"/>
          <w:bCs w:val="0"/>
          <w:color w:val="000000"/>
          <w:sz w:val="30"/>
          <w:szCs w:val="30"/>
        </w:rPr>
        <w:t xml:space="preserve">六、</w:t>
      </w:r>
      <w:bookmarkEnd w:id="162"/>
      <w:r/>
      <w:bookmarkEnd w:id="163"/>
      <w:r/>
      <w:bookmarkEnd w:id="164"/>
      <w:r>
        <w:rPr>
          <w:rFonts w:hint="eastAsia" w:ascii="方正黑体_GBK" w:hAnsi="方正黑体_GBK" w:eastAsia="方正黑体_GBK" w:cs="方正黑体_GBK"/>
          <w:b w:val="0"/>
          <w:bCs w:val="0"/>
          <w:color w:val="000000"/>
          <w:sz w:val="30"/>
          <w:szCs w:val="30"/>
        </w:rPr>
        <w:t xml:space="preserve">定标</w:t>
      </w:r>
      <w:bookmarkEnd w:id="165"/>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66" w:name="_Toc513029238"/>
      <w:r/>
      <w:bookmarkStart w:id="167" w:name="_Toc16938554"/>
      <w:r/>
      <w:bookmarkStart w:id="168" w:name="_Toc20823310"/>
      <w:r>
        <w:rPr>
          <w:rFonts w:hint="eastAsia" w:ascii="方正楷体_GBK" w:hAnsi="方正楷体_GBK" w:eastAsia="方正楷体_GBK" w:cs="方正楷体_GBK"/>
          <w:b/>
          <w:bCs/>
        </w:rPr>
        <w:t xml:space="preserve">2</w:t>
      </w:r>
      <w:bookmarkEnd w:id="166"/>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67"/>
      <w:r/>
      <w:bookmarkEnd w:id="168"/>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69"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69"/>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0" w:name="_Toc120614220"/>
      <w:r/>
      <w:bookmarkStart w:id="171" w:name="_Toc513029236"/>
      <w:r/>
      <w:bookmarkStart w:id="172" w:name="_Toc16938552"/>
      <w:r/>
      <w:bookmarkStart w:id="173" w:name="_Toc20823308"/>
      <w:r>
        <w:rPr>
          <w:rFonts w:hint="eastAsia" w:ascii="方正黑体_GBK" w:hAnsi="方正黑体_GBK" w:eastAsia="方正黑体_GBK" w:cs="方正黑体_GBK"/>
          <w:b w:val="0"/>
          <w:bCs w:val="0"/>
          <w:color w:val="000000"/>
          <w:sz w:val="30"/>
          <w:szCs w:val="30"/>
        </w:rPr>
        <w:t xml:space="preserve">七、授予合同</w:t>
      </w:r>
      <w:bookmarkEnd w:id="170"/>
      <w:r/>
      <w:bookmarkEnd w:id="171"/>
      <w:r/>
      <w:bookmarkEnd w:id="172"/>
      <w:r/>
      <w:bookmarkEnd w:id="173"/>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bookmarkStart w:id="174" w:name="_Toc16938553"/>
      <w:r/>
      <w:bookmarkStart w:id="175" w:name="_Toc20823309"/>
      <w:r/>
      <w:bookmarkStart w:id="176"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4"/>
      <w:r/>
      <w:bookmarkEnd w:id="175"/>
      <w:r/>
      <w:bookmarkEnd w:id="176"/>
      <w:r/>
      <w:r/>
    </w:p>
    <w:p>
      <w:pPr>
        <w:pStyle w:val="880"/>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lang w:val="en-US" w:eastAsia="zh-CN"/>
        </w:rPr>
        <w:t xml:space="preserve">询问或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2"/>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t xml:space="preserve">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7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80"/>
        <w:ind w:firstLine="42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80"/>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880"/>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80"/>
        <w:ind w:firstLine="42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80"/>
        <w:ind w:firstLine="42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bookmarkEnd w:id="45"/>
      <w:r/>
      <w:bookmarkEnd w:id="46"/>
      <w:r/>
      <w:bookmarkEnd w:id="47"/>
      <w:r/>
      <w:bookmarkEnd w:id="48"/>
      <w:r/>
      <w:bookmarkEnd w:id="49"/>
      <w:r/>
      <w:r/>
    </w:p>
    <w:p>
      <w:pPr>
        <w:rPr>
          <w:rFonts w:hint="eastAsia"/>
        </w:rPr>
      </w:pPr>
      <w:r/>
      <w:bookmarkStart w:id="177" w:name="_Toc120614281"/>
      <w:r/>
      <w:bookmarkStart w:id="178" w:name="_Toc49090575"/>
      <w:r/>
      <w:bookmarkStart w:id="179" w:name="_Toc26554093"/>
      <w:r/>
      <w:bookmarkStart w:id="180" w:name="_Toc462564139"/>
      <w:r/>
      <w:bookmarkStart w:id="181" w:name="_Toc479757211"/>
      <w:r>
        <w:rPr>
          <w:rFonts w:hint="eastAsia" w:ascii="宋体" w:hAnsi="宋体" w:eastAsia="宋体" w:cs="Times New Roman"/>
          <w:color w:val="000000"/>
          <w:sz w:val="24"/>
          <w:lang w:val="zh-CN"/>
        </w:rPr>
        <w:br w:type="page" w:clear="all"/>
      </w:r>
      <w:r/>
    </w:p>
    <w:p>
      <w:pPr>
        <w:pStyle w:val="888"/>
        <w:ind w:left="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合同文本</w:t>
      </w:r>
      <w:r/>
    </w:p>
    <w:p>
      <w:pPr>
        <w:rPr>
          <w:rFonts w:hint="eastAsia"/>
        </w:rPr>
      </w:pPr>
      <w:r>
        <w:rPr>
          <w:rFonts w:hint="eastAsia"/>
        </w:rPr>
      </w:r>
      <w:r/>
    </w:p>
    <w:p>
      <w:pPr>
        <w:ind w:firstLine="480"/>
        <w:spacing w:line="264" w:lineRule="auto"/>
        <w:rPr>
          <w:rFonts w:hint="eastAsia" w:ascii="宋体" w:hAnsi="宋体"/>
          <w:bCs/>
          <w:color w:val="000000"/>
          <w:sz w:val="24"/>
          <w:szCs w:val="21"/>
        </w:rPr>
      </w:pPr>
      <w:r/>
      <w:bookmarkStart w:id="182" w:name="_Toc513029243"/>
      <w:r/>
      <w:bookmarkStart w:id="183" w:name="_Toc20823315"/>
      <w:r/>
      <w:bookmarkStart w:id="184" w:name="_Toc16938559"/>
      <w:r/>
      <w:bookmarkStart w:id="185" w:name="_Hlt16619350"/>
      <w:r/>
      <w:bookmarkStart w:id="186" w:name="_Toc120614244"/>
      <w:r/>
      <w:bookmarkStart w:id="187" w:name="_Toc16938590"/>
      <w:r/>
      <w:bookmarkStart w:id="188" w:name="_Toc20823346"/>
      <w:r/>
      <w:r/>
    </w:p>
    <w:p>
      <w:pPr>
        <w:ind w:firstLine="480"/>
        <w:spacing w:line="264" w:lineRule="auto"/>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0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7.2 除招标文件接受分包</w:t>
      </w:r>
      <w:r>
        <w:rPr>
          <w:rFonts w:hint="eastAsia" w:ascii="宋体" w:hAnsi="宋体" w:cs="Courier New"/>
          <w:color w:val="000000"/>
          <w:sz w:val="24"/>
          <w:szCs w:val="24"/>
        </w:rPr>
        <w:t xml:space="preserve">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08"/>
        <w:spacing w:line="264" w:lineRule="auto"/>
        <w:rPr>
          <w:rFonts w:hint="eastAsia" w:hAnsi="宋体"/>
          <w:sz w:val="24"/>
          <w:szCs w:val="24"/>
        </w:rPr>
      </w:pPr>
      <w:r>
        <w:rPr>
          <w:rFonts w:hint="eastAsia" w:hAnsi="宋体"/>
          <w:sz w:val="24"/>
          <w:szCs w:val="24"/>
        </w:rPr>
        <w:t xml:space="preserve">8.1 合同款项的支付方式及时间</w:t>
      </w:r>
      <w:r/>
    </w:p>
    <w:p>
      <w:pPr>
        <w:pStyle w:val="708"/>
        <w:spacing w:line="264" w:lineRule="auto"/>
        <w:rPr>
          <w:rFonts w:hint="eastAsia" w:hAnsi="宋体"/>
          <w:sz w:val="24"/>
          <w:szCs w:val="24"/>
        </w:rPr>
      </w:pPr>
      <w:r>
        <w:rPr>
          <w:rFonts w:hint="eastAsia" w:hAnsi="宋体"/>
          <w:sz w:val="24"/>
          <w:szCs w:val="24"/>
        </w:rPr>
        <w:t xml:space="preserve">8.1.1 合同签订后，甲方支付合同总价款的30%作为预付款。</w:t>
      </w:r>
      <w:r/>
    </w:p>
    <w:p>
      <w:pPr>
        <w:pStyle w:val="708"/>
        <w:spacing w:line="264" w:lineRule="auto"/>
        <w:rPr>
          <w:rFonts w:hint="eastAsia" w:hAnsi="宋体"/>
          <w:sz w:val="24"/>
          <w:szCs w:val="24"/>
        </w:rPr>
      </w:pPr>
      <w:r>
        <w:rPr>
          <w:rFonts w:hint="eastAsia" w:hAnsi="宋体"/>
          <w:sz w:val="24"/>
          <w:szCs w:val="24"/>
        </w:rPr>
        <w:t xml:space="preserve">8.1.2 供货结束并验收合格后，甲方支付合同总价款的70%。</w:t>
      </w:r>
      <w:r/>
    </w:p>
    <w:p>
      <w:pPr>
        <w:pStyle w:val="708"/>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708"/>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708"/>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2"/>
      <w:r/>
      <w:bookmarkEnd w:id="183"/>
      <w:r/>
      <w:bookmarkEnd w:id="184"/>
      <w:r/>
      <w:r/>
    </w:p>
    <w:p>
      <w:pPr>
        <w:pStyle w:val="708"/>
        <w:spacing w:before="120" w:after="120" w:line="264" w:lineRule="auto"/>
        <w:rPr>
          <w:rFonts w:hint="eastAsia" w:hAnsi="宋体"/>
          <w:sz w:val="24"/>
          <w:szCs w:val="24"/>
        </w:rPr>
      </w:pPr>
      <w:r/>
      <w:bookmarkStart w:id="189" w:name="_Hlt16619369"/>
      <w:r/>
      <w:bookmarkEnd w:id="189"/>
      <w:r>
        <w:rPr>
          <w:rFonts w:hint="eastAsia" w:hAnsi="宋体"/>
          <w:sz w:val="24"/>
          <w:szCs w:val="24"/>
        </w:rPr>
        <w:t xml:space="preserve">  </w:t>
      </w:r>
      <w:r/>
    </w:p>
    <w:p>
      <w:pPr>
        <w:pStyle w:val="708"/>
        <w:spacing w:before="120" w:after="120" w:line="264" w:lineRule="auto"/>
        <w:rPr>
          <w:rFonts w:hint="eastAsia" w:hAnsi="宋体"/>
          <w:sz w:val="24"/>
          <w:szCs w:val="24"/>
        </w:rPr>
      </w:pPr>
      <w:r>
        <w:rPr>
          <w:rFonts w:hint="eastAsia" w:hAnsi="宋体"/>
          <w:sz w:val="24"/>
          <w:szCs w:val="24"/>
        </w:rPr>
        <w:t xml:space="preserve">甲  方：（公章）                       乙  方：（公章） </w:t>
      </w:r>
      <w:r/>
    </w:p>
    <w:p>
      <w:pPr>
        <w:pStyle w:val="708"/>
        <w:spacing w:before="120" w:after="120" w:line="264" w:lineRule="auto"/>
        <w:rPr>
          <w:rFonts w:hint="eastAsia" w:hAnsi="宋体"/>
          <w:sz w:val="24"/>
          <w:szCs w:val="24"/>
        </w:rPr>
      </w:pPr>
      <w:r>
        <w:rPr>
          <w:rFonts w:hint="eastAsia" w:hAnsi="宋体"/>
          <w:sz w:val="24"/>
          <w:szCs w:val="24"/>
        </w:rPr>
        <w:t xml:space="preserve">地  址：                               地  址： </w:t>
      </w:r>
      <w:r/>
    </w:p>
    <w:p>
      <w:pPr>
        <w:pStyle w:val="708"/>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08"/>
        <w:spacing w:before="120" w:after="120" w:line="264" w:lineRule="auto"/>
        <w:rPr>
          <w:rFonts w:hint="eastAsia" w:hAnsi="宋体"/>
          <w:sz w:val="24"/>
          <w:szCs w:val="24"/>
        </w:rPr>
      </w:pPr>
      <w:r>
        <w:rPr>
          <w:rFonts w:hint="eastAsia" w:hAnsi="宋体"/>
          <w:sz w:val="24"/>
          <w:szCs w:val="24"/>
        </w:rPr>
        <w:t xml:space="preserve">联系电话：                             联系电话：          </w:t>
      </w:r>
      <w:r/>
    </w:p>
    <w:p>
      <w:pPr>
        <w:pStyle w:val="708"/>
        <w:spacing w:before="120" w:after="120" w:line="264" w:lineRule="auto"/>
        <w:rPr>
          <w:rFonts w:hint="eastAsia" w:hAnsi="宋体"/>
          <w:sz w:val="24"/>
          <w:szCs w:val="24"/>
        </w:rPr>
      </w:pPr>
      <w:r>
        <w:rPr>
          <w:rFonts w:hint="eastAsia" w:hAnsi="宋体"/>
          <w:sz w:val="24"/>
          <w:szCs w:val="24"/>
        </w:rPr>
        <w:t xml:space="preserve">                                          </w:t>
      </w:r>
      <w:r/>
    </w:p>
    <w:p>
      <w:pPr>
        <w:pStyle w:val="708"/>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08"/>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hint="eastAsia" w:ascii="宋体" w:hAnsi="宋体"/>
          <w:color w:val="0000ff"/>
          <w:sz w:val="24"/>
          <w:szCs w:val="24"/>
        </w:rPr>
      </w:pPr>
      <w:r>
        <w:rPr>
          <w:rFonts w:hint="eastAsia" w:ascii="宋体" w:hAnsi="宋体" w:cs="宋体"/>
          <w:bCs/>
          <w:sz w:val="24"/>
          <w:szCs w:val="24"/>
        </w:rPr>
        <w:t xml:space="preserve">本项目为</w:t>
      </w:r>
      <w:r>
        <w:rPr>
          <w:rFonts w:hint="eastAsia" w:ascii="宋体" w:hAnsi="宋体"/>
          <w:sz w:val="24"/>
          <w:szCs w:val="24"/>
        </w:rPr>
        <w:t xml:space="preserve">南京市第29中学新校区多媒体教学设备</w:t>
      </w:r>
      <w:r>
        <w:rPr>
          <w:rFonts w:hint="eastAsia" w:ascii="宋体" w:hAnsi="宋体" w:cs="宋体"/>
          <w:bCs/>
          <w:sz w:val="24"/>
          <w:szCs w:val="24"/>
        </w:rPr>
        <w:t xml:space="preserve">采购，用于学校各教室的多媒体教学。主要为新校区各教室的录播系统、扩声系统、中控系统、互动教学系统、教学平台、数智作业服务系统及配套的电脑桌椅等。项目包含设备安装、调试并培训使用，保障学校正常教学活动开展。</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264" w:lineRule="auto"/>
        <w:rPr>
          <w:rFonts w:hint="eastAsia" w:ascii="宋体" w:hAnsi="宋体" w:cs="宋体"/>
          <w:bCs/>
          <w:sz w:val="24"/>
          <w:szCs w:val="24"/>
        </w:rPr>
      </w:pPr>
      <w:r>
        <w:rPr>
          <w:rFonts w:hint="eastAsia" w:ascii="黑体" w:hAnsi="黑体" w:eastAsia="黑体" w:cs="黑体"/>
          <w:color w:val="000000"/>
          <w:sz w:val="24"/>
          <w:szCs w:val="24"/>
        </w:rPr>
        <w:t xml:space="preserve">三、项目清单</w:t>
      </w:r>
      <w:r/>
    </w:p>
    <w:tbl>
      <w:tblPr>
        <w:tblStyle w:val="699"/>
        <w:tblW w:w="0" w:type="auto"/>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2"/>
        <w:gridCol w:w="2291"/>
        <w:gridCol w:w="735"/>
        <w:gridCol w:w="702"/>
        <w:gridCol w:w="1070"/>
        <w:gridCol w:w="1173"/>
        <w:gridCol w:w="1383"/>
        <w:gridCol w:w="918"/>
      </w:tblGrid>
      <w:tr>
        <w:trPr>
          <w:jc w:val="center"/>
          <w:trHeight w:val="470"/>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229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1070" w:type="dxa"/>
            <w:vAlign w:val="center"/>
            <w:textDirection w:val="lrTb"/>
            <w:noWrap w:val="false"/>
          </w:tcPr>
          <w:p>
            <w:pPr>
              <w:jc w:val="center"/>
              <w:spacing w:line="400" w:lineRule="exact"/>
              <w:rPr>
                <w:rFonts w:hint="eastAsia"/>
              </w:rPr>
            </w:pPr>
            <w:r>
              <w:rPr>
                <w:rFonts w:hint="eastAsia"/>
              </w:rPr>
              <w:t xml:space="preserve">单价上限</w:t>
            </w:r>
            <w:r/>
          </w:p>
          <w:p>
            <w:pPr>
              <w:pStyle w:val="723"/>
              <w:ind w:firstLine="0"/>
              <w:jc w:val="center"/>
              <w:spacing w:line="400" w:lineRule="exact"/>
              <w:rPr>
                <w:rFonts w:hint="eastAsia"/>
              </w:rPr>
            </w:pPr>
            <w:r>
              <w:rPr>
                <w:rFonts w:hint="eastAsia" w:cs="宋体"/>
                <w:bCs/>
                <w:sz w:val="24"/>
                <w:szCs w:val="24"/>
              </w:rPr>
              <w:t xml:space="preserve">（元）</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常态录播主机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20000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
                <w:bCs w:val="0"/>
                <w:sz w:val="24"/>
                <w:szCs w:val="24"/>
              </w:rPr>
              <w:t xml:space="preserve">核心产品</w:t>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教师跟踪摄像机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3900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学生云镜摄像机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3900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精品录播主机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86000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教师双目摄像机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教师云台摄像机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学生双目摄像机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学生云台摄像机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30倍光学跟踪摄像机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20倍教师双目摄像机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20倍学生双目摄像机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20倍云台摄像机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导播控制台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桌面控制管理器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拾音器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吊麦话筒</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支</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数字混音器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有源监听音箱</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拾音系统</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3600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16口POE交换机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1100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8口POE交换机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5口POE交换机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视频采集卡</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67</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张</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150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虚拟演播系统</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61800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bookmarkStart w:id="203" w:name="_GoBack"/>
            <w:r>
              <w:rPr>
                <w:rFonts w:hint="eastAsia" w:ascii="宋体" w:hAnsi="宋体" w:cs="宋体"/>
                <w:bCs/>
                <w:sz w:val="24"/>
                <w:szCs w:val="24"/>
              </w:rPr>
              <w:t xml:space="preserve">货物</w:t>
            </w:r>
            <w:bookmarkEnd w:id="203"/>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高清摄像机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13000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无线麦克风1</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虚拟演播系统推车</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抠像绿幕</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无线麦克风2</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178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麦克风底座</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89</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1300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鹅颈麦克风</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89</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音频处理器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89</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多媒体全频音箱</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89</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12路调音台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2800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数码播放器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5400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数字音频处理器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6330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全频音箱</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2960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双通道功率放大器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2320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音箱安装架</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无线手持</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无线头戴话筒</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反馈抑制器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6330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线性音柱音箱</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6950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音箱功放</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3190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桌面式电容话筒</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无线天线分配器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13000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无线话筒天线</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4800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桌面话筒架</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50Ω同轴电缆</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音箱架</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8路电源时序器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智慧融合终端</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6800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控制面板</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2700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时序电源</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视频直播工作站</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26000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无线投屏</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93</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2600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主讲端智能云盒</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主讲端交互模块</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小组智能云盒</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小组端交互模块</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18000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手写板</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手写板充电柜</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11000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无线高密AP</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1450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智慧教学移动终端</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充电车</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融合系统支撑平台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55000</w:t>
            </w:r>
            <w:r/>
          </w:p>
        </w:tc>
        <w:tc>
          <w:tcPr>
            <w:tcW w:w="1173"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资源管理平台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教学资源综合应用平台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98000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AI大数据分析模块</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150000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试题资源库</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34000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作业设计与布置</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22000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作业数据采集</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22000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全题型智能批改</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11000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作业数据分析</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17000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作业数据学情数字化应用</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34000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W w:w="91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智能采集终端</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6630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电脑讲台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2700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78</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学生电脑桌</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272</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张</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1800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79</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学生电脑椅</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544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把</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80</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24口交换机</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27</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1500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81</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2联操作台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3000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82</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4联操作台</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83</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12U机柜</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650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84</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24U机柜</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85</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42U机柜</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1900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86</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综合布线</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562</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点</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jc w:val="center"/>
          <w:trHeight w:val="414"/>
        </w:trPr>
        <w:tc>
          <w:tcPr>
            <w:tcW w:w="71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87</w:t>
            </w:r>
            <w:r/>
          </w:p>
        </w:tc>
        <w:tc>
          <w:tcPr>
            <w:tcW w:w="2291"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系统集成</w:t>
            </w:r>
            <w:r/>
          </w:p>
        </w:tc>
        <w:tc>
          <w:tcPr>
            <w:tcW w:w="735"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98</w:t>
            </w:r>
            <w:r/>
          </w:p>
        </w:tc>
        <w:tc>
          <w:tcPr>
            <w:tcW w:w="70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间</w:t>
            </w:r>
            <w:r/>
          </w:p>
        </w:tc>
        <w:tc>
          <w:tcPr>
            <w:tcW w:w="107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2600</w:t>
            </w:r>
            <w:r/>
          </w:p>
        </w:tc>
        <w:tc>
          <w:tcPr>
            <w:tcW w:w="117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383"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p>
        </w:tc>
        <w:tc>
          <w:tcPr>
            <w:tcW w:w="9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hint="eastAsia"/>
        </w:rPr>
      </w:pPr>
      <w:r>
        <w:rPr>
          <w:rFonts w:hint="eastAsia" w:ascii="宋体" w:hAnsi="宋体" w:cs="宋体"/>
          <w:bCs/>
          <w:sz w:val="24"/>
          <w:szCs w:val="24"/>
        </w:rPr>
        <w:t xml:space="preserve">1.产品技术指标</w:t>
      </w:r>
      <w:r/>
    </w:p>
    <w:tbl>
      <w:tblPr>
        <w:tblStyle w:val="699"/>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8"/>
        <w:gridCol w:w="879"/>
        <w:gridCol w:w="7790"/>
      </w:tblGrid>
      <w:tr>
        <w:trPr>
          <w:jc w:val="center"/>
        </w:trPr>
        <w:tc>
          <w:tcPr>
            <w:tcW w:w="518"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879"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常态录播主机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录播一体机接口：①.HDMI输入接口：1路；②.HDMI接口输出：2路；③.音频输入1路；音频输出：1路；④.USB接口：1路；⑤.RJ45网口：1路；RS485：1路；⑥.内置MSATA接口；⑦.内置256G固态硬盘；（签订合同时提供包含但不限于产品说明书等技术支持资料，如白皮书、彩页、手册、官网截图、具有CMA标识的检测报告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2.Linux操作系统；主机供电：DC12V，主机可在-30℃，湿度85%的环境下稳定运行；</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▲3.通道支持加载HDMI信号，最大分辨率支持3840*2160（签订合同时提供具有CMA标识的第三方检测</w:t>
            </w:r>
            <w:r>
              <w:rPr>
                <w:rFonts w:hint="eastAsia" w:ascii="宋体" w:hAnsi="宋体" w:cs="宋体"/>
                <w:bCs/>
                <w:sz w:val="24"/>
                <w:szCs w:val="24"/>
                <w:lang w:eastAsia="zh-CN"/>
              </w:rPr>
              <w:t xml:space="preserve">报告</w:t>
            </w:r>
            <w:r>
              <w:rPr>
                <w:rFonts w:hint="eastAsia" w:ascii="宋体" w:hAnsi="宋体" w:cs="宋体"/>
                <w:bCs/>
                <w:sz w:val="24"/>
                <w:szCs w:val="24"/>
              </w:rPr>
              <w:t xml:space="preserve">）；</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4.支持H264视频编码与解码,要求支持1080P30fps、720P30fps分辨率格式编解码；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5.支持多通道同时录制，支持生成标准MP4格式视频文件，支持&gt;5路MP4文件同时录制；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6.要求支持B/S架构设计，能够方便教师使用IE、360等主流浏览器通过网络直接访问录播主机进行导播和管理。主界面可以显示录制信息，包括录制时间、视频信息、地址及硬盘容量等；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7.通道窗口预览功能：能实时查看源通道的视频画面，方便预览和切换；通道能够加载http，rtsp，rtmp，ts，tc，http-flv格式的网络视频流；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8.可以在老师特写、学生特写、教师全景、学生全景和老师电脑图像等机位之间进行自动切换，图像切换平滑，没有“跳动”现象；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9.支持本地导播、远程导播,本地导播可通过外接显示屏和遥控器实现本地导播控制;远程导播可通过网络实现远程导播控制；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10.支持电影模式和资源模式同步录制，可根据不同需求选择录制模式；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
              <w:rPr>
                <w:rFonts w:hint="eastAsia" w:ascii="宋体" w:hAnsi="宋体" w:cs="宋体"/>
                <w:bCs/>
                <w:sz w:val="24"/>
                <w:szCs w:val="24"/>
              </w:rPr>
              <w:t xml:space="preserve">11.录制覆盖功能：能自动检测硬盘容量，在极限情况下，自动覆盖最早的录像文件，保证当前录制文件的完整性</w:t>
            </w:r>
            <w:r>
              <w:rPr>
                <w:rFonts w:hint="eastAsia" w:ascii="宋体" w:hAnsi="宋体" w:cs="宋体"/>
                <w:bCs/>
                <w:sz w:val="24"/>
                <w:szCs w:val="24"/>
              </w:rPr>
              <w:t xml:space="preserve">（签订合同时提供具有CMA标识的第三方检测</w:t>
            </w:r>
            <w:r>
              <w:rPr>
                <w:rFonts w:hint="eastAsia" w:ascii="宋体" w:hAnsi="宋体" w:cs="宋体"/>
                <w:bCs/>
                <w:sz w:val="24"/>
                <w:szCs w:val="24"/>
                <w:lang w:eastAsia="zh-CN"/>
              </w:rPr>
              <w:t xml:space="preserve">报告</w:t>
            </w:r>
            <w:r>
              <w:rPr>
                <w:rFonts w:hint="eastAsia" w:ascii="宋体" w:hAnsi="宋体" w:cs="宋体"/>
                <w:bCs/>
                <w:sz w:val="24"/>
                <w:szCs w:val="24"/>
              </w:rPr>
              <w:t xml:space="preserve">）</w:t>
            </w:r>
            <w:r/>
            <w:r>
              <w:rPr>
                <w:rFonts w:hint="eastAsia" w:ascii="宋体" w:hAnsi="宋体" w:cs="宋体"/>
                <w:bCs/>
                <w:sz w:val="24"/>
                <w:szCs w:val="24"/>
              </w:rPr>
              <w:t xml:space="preserve">；</w:t>
            </w:r>
            <w:r/>
            <w:r>
              <w:rPr>
                <w:sz w:val="22"/>
              </w:rPr>
            </w:r>
          </w:p>
          <w:p>
            <w:pPr>
              <w:jc w:val="left"/>
              <w:spacing w:line="264" w:lineRule="auto"/>
              <w:rPr>
                <w:rFonts w:ascii="宋体" w:hAnsi="宋体" w:cs="宋体"/>
                <w:bCs/>
                <w:sz w:val="24"/>
                <w:szCs w:val="24"/>
              </w:rPr>
            </w:pPr>
            <w:r>
              <w:rPr>
                <w:rFonts w:hint="eastAsia" w:ascii="宋体" w:hAnsi="宋体" w:cs="宋体"/>
                <w:bCs/>
                <w:sz w:val="24"/>
                <w:szCs w:val="24"/>
              </w:rPr>
              <w:t xml:space="preserve">12.直播功能：直播数量：不少于80个点；直播码流：1Mbps-8Mbps可调；无需下载任何插件及播放器，通过IE浏览器就能直播观看；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hAnsi="宋体" w:cs="宋体"/>
                <w:bCs/>
                <w:sz w:val="24"/>
                <w:szCs w:val="24"/>
              </w:rPr>
              <w:t xml:space="preserve">▲13.</w:t>
            </w:r>
            <w:r>
              <w:rPr>
                <w:rFonts w:ascii="SimSun" w:hAnsi="SimSun" w:eastAsia="SimSun" w:cs="SimSun"/>
                <w:color w:val="000000" w:themeColor="text1"/>
                <w:sz w:val="24"/>
              </w:rPr>
              <w:t xml:space="preserve">主机集成录制、导播、直播、互动功能模块，不接受采用</w:t>
            </w: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台及以上的主机实现以上功能</w:t>
            </w:r>
            <w:r>
              <w:rPr>
                <w:rFonts w:hint="eastAsia" w:hAnsi="宋体" w:cs="宋体"/>
                <w:bCs/>
                <w:color w:val="000000" w:themeColor="text1"/>
                <w:sz w:val="24"/>
                <w:szCs w:val="24"/>
              </w:rPr>
              <w:t xml:space="preserve">（签订合</w:t>
            </w:r>
            <w:r>
              <w:rPr>
                <w:rFonts w:hint="eastAsia" w:hAnsi="宋体" w:cs="宋体"/>
                <w:bCs/>
                <w:sz w:val="24"/>
                <w:szCs w:val="24"/>
              </w:rPr>
              <w:t xml:space="preserve">同时提供具有CMA标识的第三方检测</w:t>
            </w:r>
            <w:r>
              <w:rPr>
                <w:rFonts w:hint="eastAsia" w:hAnsi="宋体" w:cs="宋体"/>
                <w:bCs/>
                <w:sz w:val="24"/>
                <w:szCs w:val="24"/>
                <w:lang w:eastAsia="zh-CN"/>
              </w:rPr>
              <w:t xml:space="preserve">报告</w:t>
            </w:r>
            <w:r>
              <w:rPr>
                <w:rFonts w:hint="eastAsia" w:hAnsi="宋体" w:cs="宋体"/>
                <w:bCs/>
                <w:sz w:val="24"/>
                <w:szCs w:val="24"/>
              </w:rPr>
              <w:t xml:space="preserve">）。</w:t>
            </w:r>
            <w:r/>
            <w:r>
              <w:rPr>
                <w:rFonts w:ascii="Times New Roman" w:hAnsi="Times New Roman" w:eastAsia="Times New Roman" w:cs="Times New Roman"/>
                <w:sz w:val="22"/>
              </w:rP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教师跟踪摄像机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1.支持4K超高清分辨率图像，最大可提供4K@30fps/25fps图像编码输出，同时向下兼容1080p，720p等分辨率;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2.传感器要求：传感器尺寸≥1/2.8英寸,有效像素≥800万;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3.内置领先图像识别与跟踪算法，无其他辅助的情况下，即可实现平滑自然的EPTZ跟踪效果；能为教师跟踪设置精准灵活的跟踪模型;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4.镜头焦距：8±0.3mm；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5.摄像机可同时输出4路码流的图像，支持全景画面和特写画面同时输出，且至少一路视频支持自动导切视频输出，全景画面和特写画面分辨率同时支持1920x1080@25fps以上；</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6.USB接口兼容会议软件和平台软件；USB接口支持自动导切视频输出；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7.支持H.265/H.264/MJEPG三种视频编码标准，音频AAC编码标准；支持RTSP、RTMP、Onvif、组播等网络协议;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8.支持LINEIN外接音频输入，可与视频同步编码后网络输出;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9.支持WDR，可以应对不同光照环境;</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10.支持图像2D和3D降噪;</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11.教师跟踪系统软件：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①系统采用虚拟跟踪技术，即在不采用云台摄像机的情况下，同步实现教师跟踪和学生定位的功能；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②与摄像机高度集成，在无需外接辅助设备（辅助分析摄像头、跟踪主机等）情况下，就能够实现跟踪定位功能；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③在采用2台非云台摄像机的情况下，实现4景位的拍摄；并具备全自动导播切换功能；</w:t>
            </w:r>
            <w:r/>
          </w:p>
          <w:p>
            <w:pPr>
              <w:jc w:val="left"/>
              <w:spacing w:line="264" w:lineRule="auto"/>
              <w:rPr>
                <w:rFonts w:ascii="宋体" w:hAnsi="宋体" w:cs="宋体"/>
                <w:bCs/>
                <w:sz w:val="24"/>
                <w:szCs w:val="24"/>
              </w:rPr>
            </w:pPr>
            <w:r>
              <w:rPr>
                <w:rFonts w:hint="eastAsia" w:ascii="宋体" w:hAnsi="宋体" w:cs="宋体"/>
                <w:bCs/>
                <w:sz w:val="24"/>
                <w:szCs w:val="24"/>
              </w:rPr>
              <w:t xml:space="preserve">④具备较强的跟踪控制功能，当教师在讲台区域活动时，能够始终拍摄教师的跟踪画面，当教师运动速度较快时，自动切换到教师全景画面；教师的特写和全景画面，均通过一台摄像机完成；授课老师身高自适应功能：根据授课老师身高的不同，自动调整所拍摄的老师画面，使老师在画面中始终处于最合理的位置。</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学生云镜摄像机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1.支持4K超高清分辨率图像，最大可提供4K@30fps/25fps图像编码输出，同时向下兼容1080p，720p等分辨率；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2.传感器要求：传感器尺寸≥1/2.8英寸,有效像素≥800万；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3.内置领先图像识别与跟踪算法，无其他辅助的情况下，能够自动识别起立回答问题的学生，并可以对其进行平滑自然的EPTZ跟踪效果；能为学生跟踪设置精准灵活的跟踪模型；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4.镜头：焦距：3.4±0.3mm；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5.摄像机可同时输出4路码流的图像，支持全景画面和特写画面同时输出，且至少一路视频支持自动导切视频输出，全景画面和特写画面分辨率同时支持1920x1080@25fps以上；</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6.USB接口兼容会议软件和平台软件;USB接口支持自动导切视频输出；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7.支持H.265/H.264/MJEPG三种视频编码标准，音频AAC编码标准；支持RTSP、RTMP、Onvif、组播等网络协议；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8.支持LINEIN外接音频输入，可与视频同步编码后网络输出；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9.支持WDR，可以应对不同光照环境；</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10.支持图像2D和3D降噪；</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11.学生定位系统软件：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①系统采用虚拟跟踪技术，即在不采用云台摄像机的情况下，同步实现教师跟踪和学生定位的功能；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②与摄像机高度集成，在无需外接辅助设备（辅助分析摄像头、跟踪主机等）情况下，就能够实现跟踪定位功能；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③在采用2台非云台摄像机的情况下，实现4景位的拍摄；并具备全自动导播切换功能；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精品录播主机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录播一体机接口不低于：①.视频输入接口：4路HD-SDI接口，2路HDMI接口，1路VGA接口②.视频输出：2路HDMI接口；③.音频接口：1路输入、1路输出；④.USB接口：2路USB2.0接口；⑤.网口：1路千兆网口；⑥.控制接口：1路RS485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hint="eastAsia" w:ascii="宋体" w:hAnsi="宋体" w:cs="宋体"/>
                <w:bCs/>
                <w:color w:val="000000" w:themeColor="text1"/>
                <w:sz w:val="24"/>
                <w:szCs w:val="24"/>
              </w:rPr>
              <w:t xml:space="preserve">2</w:t>
            </w:r>
            <w:r>
              <w:rPr>
                <w:rFonts w:hint="eastAsia" w:ascii="宋体" w:hAnsi="宋体" w:cs="宋体"/>
                <w:bCs/>
                <w:sz w:val="24"/>
                <w:szCs w:val="24"/>
              </w:rPr>
              <w:t xml:space="preserve">.Linux操作系统；主机供电：DC12V，主机可在-30℃，湿度85%的环境下稳定运行；</w:t>
            </w:r>
            <w:r/>
            <w:r>
              <w:rPr>
                <w:sz w:val="22"/>
              </w:rP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3.主机集成录制、导播、直播、互动功能模块，不接受采用2台及以上的主机实现以上功能；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4.通道支持加载HDMI信号，最大分辨率支持3840*2160；</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5.支持H264视频编码与解码,要求支持1080P30fps、720P30fps分辨率格式编解码；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6.支持多通道同时录制，支持生成标准MP4格式视频文件，支持&gt;5路MP4文件同时录制；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7.要求支持B/S架构设计，能够方便教师使用IE、360等主流浏览器通过网络直接访问录播主机进行导播和管理。主界面可以显示录制信息，包括录制时间、视频信息、地址及硬盘容量等；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为保证教室内教学场景拍摄录制及教学相关设备信号接入，要求具备≥10路信号的加载预监功能，能根据课堂教学进程，对教师、学生、电脑桌面、互动等画面进行智能切换。预监画面可实时推流给资源平台，实现平台直播；</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▲9.通道窗口预览功能：能实时查看源通道的视频画面，方便预览和切换；通道能够加载http，rtsp，rtmp，ts，tc，http-flv格式的网络视频流；（签订合同时提供具有CMA标识的第三方检测</w:t>
            </w:r>
            <w:r>
              <w:rPr>
                <w:rFonts w:hint="eastAsia" w:ascii="宋体" w:hAnsi="宋体" w:cs="宋体"/>
                <w:bCs/>
                <w:sz w:val="24"/>
                <w:szCs w:val="24"/>
                <w:lang w:eastAsia="zh-CN"/>
              </w:rPr>
              <w:t xml:space="preserve">报告</w:t>
            </w:r>
            <w:r>
              <w:rPr>
                <w:rFonts w:hint="eastAsia" w:ascii="宋体" w:hAnsi="宋体" w:cs="宋体"/>
                <w:bCs/>
                <w:sz w:val="24"/>
                <w:szCs w:val="24"/>
              </w:rPr>
              <w:t xml:space="preserve">）；</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10.支持多种画面模式，支持单画面、画中画、左右等分、三画面、四画面多种画面合成模式，支持自动导播、手动导播，通过外接显示器和鼠标点击画面模板自由组合实现；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11.支持本地导播、远程导播,本地导播可通过外接显示屏实现本地导播控制;也可通过控制键盘对录播主机的导播控制,远程导播可通过网络实现远程导播控制；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12.支持云台摄像机控制，支持PTZ，多个预置位设置和调用;同时支持通过外接控制键盘选择通道画面，实现云台摄像机跟踪，可通过键盘旋钮实现镜头画面放大缩小；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13.支持电影模式和资源模式同步录制，可根据用户的不同需求选择录制模式；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14.能使用备播，主播双画面显示；能进行通道画面先切入备播，进行布局后再切入主播；</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▲15.能将教室信息采集成视频监控列表；能将视频监控图像拖入互动画面中进行打开广播（签订合同时提供具有CMA标识的第三方检测</w:t>
            </w:r>
            <w:r>
              <w:rPr>
                <w:rFonts w:hint="eastAsia" w:ascii="宋体" w:hAnsi="宋体" w:cs="宋体"/>
                <w:bCs/>
                <w:sz w:val="24"/>
                <w:szCs w:val="24"/>
                <w:lang w:eastAsia="zh-CN"/>
              </w:rPr>
              <w:t xml:space="preserve">报告</w:t>
            </w:r>
            <w:r>
              <w:rPr>
                <w:rFonts w:hint="eastAsia" w:ascii="宋体" w:hAnsi="宋体" w:cs="宋体"/>
                <w:bCs/>
                <w:sz w:val="24"/>
                <w:szCs w:val="24"/>
              </w:rPr>
              <w:t xml:space="preserve">）；</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16.视频质量诊断：能进行视频质量诊断，能诊断视频清晰度异常、视频信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号缺失、视频条纹干扰、视频雪花干扰、视频偏色、画面冻结、场景变换、打开异常、视频码流、解码异常、视频遮挡、视频模糊、画面抖动类型；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17.视频故障诊断：能进行诊断网络连接异常、视频丢失、码流获取异常的视频故障；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18.诊断分析：系统根据诊断结果，逐步排查分析故障的原因，对视频图像质量、视频编解码设备、业务服务器以及网络传输设备的故障原因进行智能监测分析，逐步筛查设备链路上所有相关设备的故障发生的精确环节，为用户及时提供详尽的故障原因信息、故障处理的建议与方案；</w:t>
            </w:r>
            <w:r/>
          </w:p>
          <w:p>
            <w:pPr>
              <w:jc w:val="left"/>
              <w:spacing w:line="264" w:lineRule="auto"/>
              <w:rPr>
                <w:rFonts w:ascii="宋体" w:hAnsi="宋体" w:cs="宋体"/>
                <w:bCs/>
                <w:sz w:val="24"/>
                <w:szCs w:val="24"/>
              </w:rPr>
            </w:pPr>
            <w:r>
              <w:rPr>
                <w:rFonts w:hint="eastAsia" w:ascii="宋体" w:hAnsi="宋体" w:cs="宋体"/>
                <w:bCs/>
                <w:sz w:val="24"/>
                <w:szCs w:val="24"/>
              </w:rPr>
              <w:t xml:space="preserve">19.报警管理：能对视频诊断结果和故障进行报警设置，并能够联动触发相关操作；</w:t>
            </w:r>
            <w:r/>
          </w:p>
          <w:p>
            <w:pPr>
              <w:jc w:val="left"/>
              <w:spacing w:line="264" w:lineRule="auto"/>
              <w:rPr>
                <w:rFonts w:hint="eastAsia"/>
              </w:rPr>
            </w:pPr>
            <w:r>
              <w:rPr>
                <w:rFonts w:hint="eastAsia" w:ascii="宋体" w:hAnsi="宋体" w:cs="宋体"/>
                <w:bCs/>
                <w:sz w:val="24"/>
                <w:szCs w:val="24"/>
              </w:rPr>
              <w:t xml:space="preserve">20.支持不依赖网络、外置设备即可实现行为分析、实时字幕的语音转写和热词提取。</w:t>
            </w:r>
            <w:r/>
          </w:p>
        </w:tc>
      </w:tr>
      <w:tr>
        <w:trPr>
          <w:jc w:val="center"/>
        </w:trPr>
        <w:tc>
          <w:tcPr>
            <w:tcW w:w="51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教师双目摄像机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1.全景镜头: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②镜头：定焦8mm；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③视角：水平44°垂直25°；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2.特写镜头: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②镜头：≥12倍光学变焦，8倍数字变焦，焦距f=4.7~94.0mm,光圈F1.6–F3.5；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③视角：59.5°（广角）-2.9°（窄角）；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④聚焦系统：自动、手动、一键触发、PTZ触发；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⑤快门速度：1/1-1/10,000秒；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⑥能使用2D和3D数字降噪，信噪比&gt;50dB，最低照度0.5Lux（彩色），0.1Lux（黑白）；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⑦白平衡：自动、室内、室外、一键触发、手动、自动跟踪、钠灯、日光灯；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⑧音频接口：1路LINEIN，3.5mm音频接口；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3.支持3G-SDI、HDMI、USB3.0、网络高清视频输出；支持POE供电；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4.支持RS232IN、RS232OUT；</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教师跟踪系统软件：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①.系统采用图像跟踪技术，无需安装定位摄像机同步进行教师跟踪；</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②.与摄像机高度集成，在无需外接辅助设备（辅助分析摄像头、跟踪主机）情况下，就能够进行跟踪定位；</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具备较强的跟踪控制功能，当教师在讲台区域活动时，能够始终拍摄教师的跟踪画面，当教师运动速度较快时，自动切换到教师全景画面；授课老师身高自适应功能：根据授课老师身高的不同，自动调整所拍摄的老师画面，使老师在画面中始终处于最合理的位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④.教师身高变化自动调整画面垂直角度。</w:t>
            </w:r>
            <w:r/>
          </w:p>
        </w:tc>
      </w:tr>
      <w:tr>
        <w:trPr>
          <w:jc w:val="center"/>
        </w:trPr>
        <w:tc>
          <w:tcPr>
            <w:tcW w:w="51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教师云台摄像机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1.图像传感器≥214万像素≥1/2.8英寸CMOS传感器；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2.镜头：≥12倍光学变倍，16倍数字变焦，f=4.14mm-47.08mm，F1.6–F2.8；</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3.视角：72.5°（广角）–6.3°（窄角）；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4.聚焦系统：自动、手动、一键触发、PTZ触发；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5.快门速度：1/1-1/10,000秒；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6.能使用2D和3D数字降噪，信噪比&gt;50dB，低照度1.0Lux；</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7.支持RS232IN、RS232OUT、RS485多种控制接口，支持菊花链组网；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8.支持1路LINEin音频输入，3.5mm音频接口；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9.视频支持HDMI.LAN网口.USB3.0三路输出；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10.支持UAC音频格式PCM；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12.支持双码流，支持多级别视频质量配置；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13.精密传动系统，定位精确，运行平稳。</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学生双目摄像机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1.全景镜头: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②镜头：定焦2.8mm；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③视角：水平94°垂直62°；</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2.特写镜头: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②镜头：≥12倍光学变焦，8倍数字变焦，焦距f=4.7~94.0mm,光圈F1.6–F3.5；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③视角：59.5°（广角）-2.9°（窄角）；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④聚焦系统：自动、手动、一键触发、PTZ触发；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⑤快门速度：1/1-1/10,000秒；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⑥能使用2D和3D数字降噪，信噪比&gt;50dB，最低照度0.5Lux（彩色），0.1Lux（黑白）；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⑦白平衡：自动、室内、室外、一键触发、手动、自动跟踪、钠灯、日光灯；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⑧音频接口：1路LINEIN，3.5mm音频接口；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3.支持3G-SDI、HDMI、USB3.0、网络高清视频输出；支持POE供电；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4.支持RS232IN、RS232OUT；</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5.本地存储：内置TF卡槽；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6.学生定位系统软件：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①.系统采用虚拟跟踪技术，即在不采用云台摄像机的情况下，同步实现学生定位的功能；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②.与摄像机高度集成，在无需外接辅助设备（辅助分析摄像头、跟踪主机）情况下，就能够实现跟踪定位功能；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③.要求在采用2台非云台摄像机的情况下，实现4景位的拍摄；并具备全自动导播切换功能；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学生云台摄像机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1.图像传感器≥214万像素≥1/2.8英寸CMOS传感器；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2.镜头：≥12倍光学变倍，16倍数字变焦，f=4.14mm-47.08mm，F1.6–F2.8；</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3.视角：72.5°（广角）–6.3°（窄角）；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4.聚焦系统：自动、手动、一键触发、PTZ触发；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5.快门速度：1/1-1/10,000秒；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6.能使用2D和3D数字降噪，信噪比&gt;50dB，低照度1.0Lux；</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7.支持RS232IN、RS232OUT、RS485多种控制接口，支持菊花链组网；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8.支持1路LINEin音频输入，3.5mm音频接口；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9.视频支持HDMI.LAN网口.USB3.0三路输出；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10.支持UAC音频格式PCM；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11.支持双码流，支持多级别视频质量配置；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12.精密传动系统，定位精确，运行平稳。</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30倍光学跟踪摄像机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1.图像传感器≥1/2.8英寸CMOS传感器；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2.视频信号：1080P60/50/59.94等，≥214万有效像素；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3.镜头：≥30倍光学变焦；</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4.视角：f=5.5～110mm，3.3°（窄角）～54.7°（广角），光圈F1.6–F3.5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5.支持2D和3D数字降噪，信噪比&gt;50dB，低照度0.5Lux(F1.8,AGCON)；</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6.视频调节支持：亮度、色度、饱和度、对比度、锐度、黑白模式、伽马曲线等功能；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7.产品接口：HDMI、USB3.0（B型兼容USB2.0）、LAN(POE)、A-IN、RS232-IN、RS232-OUT、RS422（兼容RS485）、旋转拨码、DC12V电源、电源开关；</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8.支持H.265/H.264视频压缩；支持VISCA.PELCO-P/D协议，支持波特率115200/38400/9600/4800/2400。</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20倍教师双目摄像机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1.全景镜头: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②镜头：定焦8mm；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③视角：水平44°垂直25°；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2.特写镜头: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②镜头：≥20倍光学变焦，8倍数字变焦，焦距f=4.7~94.0mm,光圈F1.6–F3.5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③视角：59.5°（广角）-2.9°（窄角）；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④聚焦系统：自动、手动、一键触发、PTZ触发；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⑤快门速度：1/1-1/10,000秒；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⑥能使用2D和3D数字降噪，信噪比&gt;50dB，最低照度0.5Lux（彩色），0.1Lux（黑白）；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⑦白平衡：自动、室内、室外、一键触发、手动、自动跟踪、钠灯、日光灯；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⑧音频接口：1路LINEIN，3.5mm音频接口；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3.支持3G-SDI、HDMI、USB3.0、网络高清视频输出；支持POE供电；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4.支持RS232IN、RS232OUT；</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5.本地存储：内置TF卡槽；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教师跟踪系统软件：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①.系统采用图像跟踪技术，无需安装定位摄像机同步进行教师跟踪；</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②.与摄像机高度集成，在无需外接辅助设备（辅助分析摄像头、跟踪主机）情况下，就能够进行跟踪定位；</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具备较强的跟踪控制功能，当教师在讲台区域活动时，能够始终拍摄教师的跟踪画面，当教师运动速度较快时，自动切换到教师全景画面；授课老师身高自适应功能：根据授课老师身高的不同，自动调整所拍摄的老师画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④.教师身高变化自动调整画面垂直角度。</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20倍学生双目摄像机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1.全景镜头: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②镜头：定焦2.8mm；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③视角：水平94°垂直62°；</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2.特写镜头: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①图像传感器：≥1/2.8英寸逐行扫描CMOS,≥214万像素；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②镜头：≥20倍光学变焦，8倍数字变焦，焦距f=4.7~94.0mm,光圈F1.6–F3.5；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③视角：59.5°（广角）-2.9°（窄角）；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④聚焦系统：自动、手动、一键触发、PTZ触发；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⑤快门速度：1/1-1/10,000秒；</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⑥能使用2D和3D数字降噪，信噪比&gt;50dB，最低照度0.5Lux（彩色），0.1Lux（黑白）；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⑦白平衡：自动、室内、室外、一键触发、手动、自动跟踪、钠灯、日光灯；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⑧音频接口：1路LINEIN，3.5mm音频接口；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3.支持3G-SDI、HDMI、USB3.0、网络高清视频输出；支持POE供电；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4.支持RS232IN、RS232OUT；</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5.本地存储：内置TF卡槽；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6.学生定位系统软件：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①.系统采用虚拟跟踪技术，即在不采用云台摄像机的情况下，同步实现学生定位的功能；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②.与摄像机高度集成，在无需外接辅助设备（辅助分析摄像头、跟踪主机）情况下，就能够实现跟踪定位功能；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③.要求在采用2台非云台摄像机的情况下，实现4景位的拍摄；并具备全自动导播切换功能；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20倍云台摄像机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1.图像传感器≥1/2.8英寸≥214万像素超高清CMOS传感器；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2.镜头：≥20倍光学变倍，16倍数字变焦，焦距：4.7mm～94mm，光圈：F1.6～F3.5；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3.视角：59.5°～2.9°；</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4.聚焦系统：自动、手动、一键触发、PTZ触发；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5.支持1路RS-232IN,1路RS-232OUT/RS-485控制接口；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6.支持1路LINEin音频输入，3.5mm音频接口；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7.视频支持HDMI.LAN网口.USB3.0三路输出；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8.HDMI支持1路HDMI1.4：视频分辨率1920*1080@60/50/30/25fps;1280*720@60/50/30/25fps;</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9.1路RJ-45，10M/100M自适应以太网口，视频格式支持H.264/H.265;1080P60/P50/P30/P25，720P60/P50/P30/P25,480P60/P50/P30/P25，360P60/P50/P30/P25;音频压缩AAC，支持多码流；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10.USB3.0支持UVC1.1协议；UVC视频格式支持H.264/H.265/MJPEG，视频分辨率1080P30/P25，720P30/P25，480P30/P25,360P30/P25;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11.支持两种供电方式，POE供电或适配器供电。</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导播控制台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1.能切换控制多台摄像机，并同时操控多个摄像机进行特写拍摄；</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2.能控制摄像机上下左右云台转动，进行拉近拉远对拉焦、聚焦操作；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3.能为多台摄像机设置/调用/清除≥6种不同预置位；</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4.能进行≥3种特效切换；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5.能设置“自动/手动”模式将嵌入式主机备播通道内容以“自动/手动”模式切换到主播通道；</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6.能设置嵌入式主机自动导播模式及手动导播模式；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7.能通过按钮控制主机不少于“老师特写”“学生特写”“老师全景”“学生全景”“板书”“PC桌面”6种画面的实时切换；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8.能通过“开始录制”“暂停录制”“停止录制”按钮控制嵌入式主机单通道及多通道的视频录制操作；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9.支持RS485/RS232协议；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10.能使用摇杆操作控制摄像机；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11.能通过usb接口链接电脑进行调试及码值校验。</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桌面控制管理器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1.核心处理器：≥400MHz32位双核处理器；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2.操作系统：嵌入式实时操作系统；</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3.协议类型：能配置运行MODBUSRTU、XGUS协议；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4.安装方向：能使用0、90、180和270度旋转安装显示；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5.颜色：≥65K色，16位RGB；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6.电压：5-36V(误差±0.2V)；</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7.通讯方式：RS485；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8.通讯波特率：RS485：1200～115200bps，典型波特率：9600bps；</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9.智能触摸控制屏软件：一键式发送录制、停止信号；本地录播能全自动的开启、关闭控制。</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拾音器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1.拾音面积：10平方米～70平方米;音频传输距离：3000米；</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2.频率响应：≥20Hz～20kHz;灵敏度：≥-46dB;信噪比：≥70dB(1米40dB音源)35dB(10米40dB音源)1KHzat1Pa；</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3.指向特性：全指向性，动态范围：≥50dB(1KHzatMaxdBSPL);最大承受音压:≥120dBSPL(1KHz,THD1%)；</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4.输出阻抗：≥600欧姆非平衡;输出信号幅度:≥2.5Vpp/-25db;麦克风:两只高灵敏度电容咪头；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5.信号处理：ClearSpeech数字降噪;保护电路:雷击保护、电源极性反转保护;适配器：全内置，可直连DVR、耳机、有源音箱；</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6.传输线缆：3芯0.5mm2RVVP电缆；</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7.配置原装电源适配器。</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吊麦话筒</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1.频率响应：≥100Hz～18KHz；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2.灵敏度：≥-40dB±3dB（re0dB=1V/Pa@1kHz）；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3.指向特性：超心型≤135°；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4.输出阻抗：≥200Ω±30%；</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5.输出幅度：Max300mV；</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6.最大承受声压：≥110dBSPL（A计权@1KHz，THD≤1%）；</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7.动态范围：≥76dB（A）；</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8.信噪比：≥60dB（A)（re94dBSPL=1Pa@1KHz)；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9.幻象供电：直流48V；</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10.输出连接器：外置式3针卡侬公头XLR-3-12C。</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数字混音器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1.采用工业级嵌入式架构，采用专用芯片和嵌入式操作系统，稳定可靠；集成自动噪音抑制技术，（去除包含空调、排气扇的噪音干扰）保证声音质量；能通过网络进行远程监听，软件升级和参数配置；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2.≥8路差分输入，支持软硬件48V幻象供电开启关闭；</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3.≥4路单声道Line-IN输入,分别为：1—远程音频输入；2&amp;4—课件；3—无线麦；</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4.≥4路平衡输出，具体定义为：1，输出至远程（包含无线麦、吊麦、课件）；2，录音（包含无线麦、吊麦、课件、远程音频输入）；.3&amp;4，输出至音箱（包含无线麦、课件、远程音频输入）。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5.≥8路平衡输入能做16段EQ处理（其他输入、输出不作EQ处理）；智能混音功能（8路平衡输入能任意组合）；</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6.能使用手拉手麦克风输入，每路能带6个从设备；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7.NOMA功能：根据开启的MIC数量自动调整系统的输出电平，不会因为输入电平的叠加而使系统的输出增益提高，有效抑制声反馈的形成；</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8.语音抗混响功能，避免多路语音互相干扰，突出重要语音信号；回声消除功能：无线麦克风、吊麦的混音需要进行AEC处理，参考信号为远程音频信号；具有AGC功能，防止多人大声说话时破音；</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9.除网口外，还能通过RS485接口进行软件升级和参数配置输入/输出增益、EQ、AGC、降噪等级的参数；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10.内置声场检测功能，能测试混响时间、环境噪声、频率响应和语音传输指数STI；</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11.远程回声消除：处理回声延迟能力：128ms，256ms，512ms；回声抑制比：＞60dB；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12.采样率：32K；采样位数：16位；</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13.动态范围：≥90db；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14.环境噪声消除：稳态噪声消除比：≥30dB；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15.频率响应：≥20Hz-16KHz；最大增益：≥59dB。</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有源监听音箱</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额定功率：≥35W+35W；额定阻抗：≥4Ω；频率响应：≥55Hz-18kHz；输入：≥2路立体声接口；灵敏度：≥75dB/1W/1M；信噪比：≥85dB；最大声压级：≥78dB。</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拾音系统</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1.拾音器：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①.指向性：全指向；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②.频响：≥50Hz-20kHz；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③.灵敏度：-44±3dB(0dB=1V/Pa@1kHz)；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④.额定输出阻抗：≥2.2kΩ；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⑤.最小负载阻抗≥1kΩ；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⑥.信噪比：≥75dB(S：(f=1kHz@1Pa)N：(A-Weightedcurve))；</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⑦.最大声压级≥115dB(f=1kHz，THD＜1%)；</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⑧.动态范围≥104dB（20Hz-20kHz@2.5kΩ）；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2.音频处理器：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①.频率响应≥20Hz~20kHz@+4dBu：麦克风通道+0/-2dB；线路输入通道+0/-0.5dB；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②.THD+N(1kHz@+4dBu)：麦克风通道&lt;0.009%；线路输入通道&lt;0.007%；</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③.等效噪声&lt;-84dBu(20Hz~20kHz@22dB)；动态范围&gt;105dB(20Hz~20kHz@0dB)；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④.最大输入电平：麦克风通道-2dBu；线路输入通道20dBu；</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⑤.最大输出电平（平衡）20dBu；</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⑥.最大增益：麦克风通道50dB；线路输入通道0dB；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⑦.输入阻抗：麦克风通道2.2kΩ；线路输入通道20kΩ；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⑧.输出阻抗：400Ω；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⑨.采样率48kHz；A/D-D/A转换器：24-bit；</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⑩.幻象电源DC48V；</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⑪.≥1个麦克风输入网络接口，可接入1路无线麦克和2路有线麦克；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⑫.≥1路立体声回声抑制参考信号输入，采用3.5mm标准音频接口；2路立体声线路输出，采用3.5mm标准音频接口。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⑬.支持远场拾音、模态降噪、高保真、去混响、回声消除。</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16口POE交换机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16口千兆POE：≥16个10/100/1000Base-T端口，整机供电功率≥225W，单口最大供电功率≥30W。</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8口POE交换机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8口千兆POE：≥8个10/100/1000Base-T端口，整机供电功率≥60W，单口最大供电功率≥30W。</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5口POE交换机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5口千兆POE：≥5个10/100/1000Base-T端口，整机供电功率≥57W，单口最大供电功率≥30W。</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视频采集卡</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1.USB高清视频采集卡；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2.输入接口：HDMI(4K/60Hz/YCbCr4:2:0向下兼容)；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3.输出接口：USB3.0/Type-C(2K/30Hz向下兼容)；</w:t>
            </w:r>
            <w:r/>
          </w:p>
          <w:p>
            <w:pPr>
              <w:jc w:val="left"/>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4.音频:音视频同步</w:t>
            </w:r>
            <w:r>
              <w:rPr>
                <w:rFonts w:hint="eastAsia" w:ascii="宋体" w:hAnsi="宋体" w:cs="宋体"/>
                <w:bCs/>
                <w:sz w:val="24"/>
                <w:szCs w:val="24"/>
                <w:lang w:eastAsia="zh-CN"/>
              </w:rPr>
              <w:t xml:space="preserve">。</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虚拟演播系统</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1.素材管理支持文件导入、素材删除、模板调用、操作便捷：</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2.图片窗口应用支持图片添加、图片删除、图片抠像、窗口数量；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3.视频窗口应用支持视频添加、视频删除、视频抠像、播放设置、窗口数量、视频切换、音量控制；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4.通道采集支持通道选择、云台控制、画面裁剪、通道抠像；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5.预览通道支持通道选择、画面添加、通道投屏；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6.抠像支持关键色抠像、关键色设置、抠像设置、裁剪设置、取消抠像；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7.模板应用支持模板选择、画面选择、模板窗格、通道展示；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8.播放控制支持主副播画面切换、模板清除、转场特效、；</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9.系统设置支持画面录制、画面直播、推流新建、推流修改、视频录制、输入音频、音频监听、异常退出视频保存；</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10.具备虚拟演播系统软件著作权。</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高清摄像机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1.CMOS图像传感器最高支持3840x2160@60FPS视频输出；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2.4K超广角镜头，≥12倍光学变焦,最大视场角高达82°；</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3.内嵌视频分析功能，可根据不用应用场景选择不同智能算法；</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4.支持H.265、H.264视频编码；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5.最高支持超高清4K无压缩数字视频输出；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6.内置2.4G/5G双频WIFI；</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7.支持双码流，支持多级别视频质量配置；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8.支持≥1路音频输入和1路音频输出。</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无线麦克风1</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1.音频采集终端：使用2节5号电池，能连续工作≥6个小时；配备背景灯液晶屏，方便暗处观看；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2.音频接收终端：带有Mic/LINE切换开关，能选择麦克风与线路输入；配备背景灯液晶屏，方便暗处观看；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3.音频监听终端：采用全频单元，声音清晰，能够表现和还原人声；二路话筒输入（环保麦克风插口自带DC+6V电源）。</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虚拟演播系统推车</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1.采用一体化台面结构设计，台面无缝隙，无液体渗漏风险；台面采用医用级抑菌ABS塑料材质，台面把手一体化，舒适手感。</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2.伸缩式键盘托带阻尼，键盘托稳固性强。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3.工作台面和显示器可整体气动升降。</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4.配置不少于2套双节活动臂，可悬挂显示器和摄像机。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5.立柱使用航空铝合金新型复合材料,内部中空设计，可隐藏走线。</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6.显示器固定架可以承受≥10kg,可进行俯仰≥30度、左右≥90度的摆动。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7.底盘盖采用医用级抑菌ABS塑料材质，造型美观。</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8.车体底座采用≥4个4寸高强度防缠绕静音万向医疗轮，带刹车。</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抠像绿幕</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配套定制,尺寸规格：200*300cm。</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无线麦克风2</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1.采用UHF数字调制和无线抗干扰编码技术，要求射频指标完全符合国家标准；</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2.采用低延时高保真数字音频压缩和传输技术，音频失真度&lt;0.08%；</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3.充电方式：支持直插式桌面充电器充电；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4.具有充电提醒及保护功能；</w:t>
            </w:r>
            <w:r/>
          </w:p>
          <w:p>
            <w:pPr>
              <w:jc w:val="left"/>
              <w:spacing w:line="264" w:lineRule="auto"/>
              <w:rPr>
                <w:rFonts w:ascii="宋体" w:hAnsi="宋体" w:cs="宋体"/>
                <w:bCs/>
                <w:sz w:val="24"/>
                <w:szCs w:val="24"/>
              </w:rPr>
            </w:pPr>
            <w:r>
              <w:rPr>
                <w:rFonts w:hint="eastAsia" w:ascii="宋体" w:hAnsi="宋体" w:cs="宋体"/>
                <w:bCs/>
                <w:sz w:val="24"/>
                <w:szCs w:val="24"/>
              </w:rPr>
              <w:t xml:space="preserve">5.配套磁吸挂绳。</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具有OLED显示屏和物理按键，显示屏的显示内容包括频率、音量、开关麦状态、电量、功率等级参数，并且具备音量+按键、音量-按键、电源开关键，物理按键具备清晰的按压反馈，电源开关键长按开关机，短按开关麦。</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麦克风底座</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▲1.要求充电底座采用一体化设计，无线话筒插入充电座即可自动完成配对（签订合同时提供具有CMA标识的第三方检测</w:t>
            </w:r>
            <w:r>
              <w:rPr>
                <w:rFonts w:hint="eastAsia" w:ascii="宋体" w:hAnsi="宋体" w:cs="宋体"/>
                <w:bCs/>
                <w:sz w:val="24"/>
                <w:szCs w:val="24"/>
                <w:lang w:eastAsia="zh-CN"/>
              </w:rPr>
              <w:t xml:space="preserve">报告</w:t>
            </w:r>
            <w:r>
              <w:rPr>
                <w:rFonts w:hint="eastAsia" w:ascii="宋体" w:hAnsi="宋体" w:cs="宋体"/>
                <w:bCs/>
                <w:sz w:val="24"/>
                <w:szCs w:val="24"/>
              </w:rPr>
              <w:t xml:space="preserve">）；</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2.收发频率：470MHz-510MHz；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3.频率响应范围：20Hz-20KHz（±3dB）；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4.频率稳定度：±0.005%以内；</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5.综合信噪比：&gt;85dB，综合失真：≤0.5%；</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6.频道组数≥2通道，支持2支无线话筒同时使用；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7.最长传输距离≥100米。</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鹅颈麦克风</w:t>
            </w:r>
            <w:r/>
          </w:p>
        </w:tc>
        <w:tc>
          <w:tcPr>
            <w:tcW w:w="7790" w:type="dxa"/>
            <w:vAlign w:val="center"/>
            <w:textDirection w:val="lrTb"/>
            <w:noWrap w:val="false"/>
          </w:tcPr>
          <w:p>
            <w:pPr>
              <w:jc w:val="left"/>
              <w:spacing w:line="264" w:lineRule="auto"/>
              <w:rPr>
                <w:rFonts w:ascii="宋体" w:hAnsi="宋体" w:cs="宋体"/>
                <w:bCs/>
                <w:sz w:val="24"/>
                <w:szCs w:val="24"/>
              </w:rPr>
            </w:pPr>
            <w:r>
              <w:rPr>
                <w:rFonts w:hint="eastAsia" w:ascii="宋体" w:hAnsi="宋体" w:cs="宋体"/>
                <w:bCs/>
                <w:sz w:val="24"/>
                <w:szCs w:val="24"/>
              </w:rPr>
              <w:t xml:space="preserve">1.拾音头：电容式；</w:t>
            </w:r>
            <w:r/>
          </w:p>
          <w:p>
            <w:pPr>
              <w:jc w:val="left"/>
              <w:spacing w:line="264" w:lineRule="auto"/>
              <w:rPr>
                <w:rFonts w:ascii="宋体" w:hAnsi="宋体" w:cs="宋体"/>
                <w:bCs/>
                <w:sz w:val="24"/>
                <w:szCs w:val="24"/>
              </w:rPr>
            </w:pPr>
            <w:r>
              <w:rPr>
                <w:rFonts w:hint="eastAsia" w:ascii="宋体" w:hAnsi="宋体" w:cs="宋体"/>
                <w:bCs/>
                <w:sz w:val="24"/>
                <w:szCs w:val="24"/>
              </w:rPr>
              <w:t xml:space="preserve">2.指向特性：心型指向；</w:t>
            </w:r>
            <w:r/>
          </w:p>
          <w:p>
            <w:pPr>
              <w:jc w:val="left"/>
              <w:spacing w:line="264" w:lineRule="auto"/>
              <w:rPr>
                <w:rFonts w:ascii="宋体" w:hAnsi="宋体" w:cs="宋体"/>
                <w:bCs/>
                <w:sz w:val="24"/>
                <w:szCs w:val="24"/>
              </w:rPr>
            </w:pPr>
            <w:r>
              <w:rPr>
                <w:rFonts w:hint="eastAsia" w:ascii="宋体" w:hAnsi="宋体" w:cs="宋体"/>
                <w:bCs/>
                <w:sz w:val="24"/>
                <w:szCs w:val="24"/>
              </w:rPr>
              <w:t xml:space="preserve">3.频率响应：≥50Hz-16KHz；</w:t>
            </w:r>
            <w:r/>
          </w:p>
          <w:p>
            <w:pPr>
              <w:jc w:val="left"/>
              <w:spacing w:line="264" w:lineRule="auto"/>
              <w:rPr>
                <w:rFonts w:ascii="宋体" w:hAnsi="宋体" w:cs="宋体"/>
                <w:bCs/>
                <w:sz w:val="24"/>
                <w:szCs w:val="24"/>
              </w:rPr>
            </w:pPr>
            <w:r>
              <w:rPr>
                <w:rFonts w:hint="eastAsia" w:ascii="宋体" w:hAnsi="宋体" w:cs="宋体"/>
                <w:bCs/>
                <w:sz w:val="24"/>
                <w:szCs w:val="24"/>
              </w:rPr>
              <w:t xml:space="preserve">4.灵敏度：≥-42dB±2dB；</w:t>
            </w:r>
            <w:r/>
          </w:p>
          <w:p>
            <w:pPr>
              <w:jc w:val="left"/>
              <w:spacing w:line="264" w:lineRule="auto"/>
              <w:rPr>
                <w:rFonts w:ascii="宋体" w:hAnsi="宋体" w:cs="宋体"/>
                <w:bCs/>
                <w:sz w:val="24"/>
                <w:szCs w:val="24"/>
              </w:rPr>
            </w:pPr>
            <w:r>
              <w:rPr>
                <w:rFonts w:hint="eastAsia" w:ascii="宋体" w:hAnsi="宋体" w:cs="宋体"/>
                <w:bCs/>
                <w:sz w:val="24"/>
                <w:szCs w:val="24"/>
              </w:rPr>
              <w:t xml:space="preserve">5.输出阻抗：≥250Ω；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6.电源供应：DC3V或DC48V。</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音频处理器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1.系统集成音频处理和功率放大器，高度≤1U。</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2.集成回声消除功能、噪声消除功能、混音处理功能于一体；</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3.支持≥1路RJ45接口无线话筒输入，支持≥1路凤凰端话筒输入；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4.具备≥4路音频输入接口，其中至少2路输入接口采用3.5mm接口；具备≥3路音频输出接口；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5.≥2个以太网接口，支持接入网络进行管控；</w:t>
            </w:r>
            <w:r/>
          </w:p>
          <w:p>
            <w:pPr>
              <w:jc w:val="left"/>
              <w:spacing w:line="264" w:lineRule="auto"/>
              <w:rPr>
                <w:rFonts w:ascii="宋体" w:hAnsi="宋体" w:cs="宋体"/>
                <w:bCs/>
                <w:sz w:val="24"/>
                <w:szCs w:val="24"/>
              </w:rPr>
            </w:pPr>
            <w:r>
              <w:rPr>
                <w:rFonts w:hint="eastAsia" w:ascii="宋体" w:hAnsi="宋体" w:cs="宋体"/>
                <w:bCs/>
                <w:sz w:val="24"/>
                <w:szCs w:val="24"/>
              </w:rPr>
              <w:t xml:space="preserve">6.功率放大器大输出功率：≥2*100W。</w:t>
            </w:r>
            <w:r/>
          </w:p>
          <w:p>
            <w:pPr>
              <w:jc w:val="left"/>
              <w:spacing w:line="264" w:lineRule="auto"/>
              <w:rPr>
                <w:rFonts w:hint="eastAsia"/>
              </w:rPr>
            </w:pPr>
            <w:r>
              <w:rPr>
                <w:rFonts w:hint="eastAsia" w:ascii="宋体" w:hAnsi="宋体" w:cs="宋体"/>
                <w:bCs/>
                <w:sz w:val="24"/>
                <w:szCs w:val="24"/>
              </w:rPr>
              <w:t xml:space="preserve">7.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多媒体全频音箱</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1.频率响应：≥120Hz-20KHz（±3dB）。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2.额定阻抗：≥4-8Ω。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3.灵敏度：≥85-90dB。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4.匹配功率：≥15W-80W。</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12路调音台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1.支持≥8路麦克风输入兼容6路线路输入接口，支持≥2路立体声输入接口，≥4路RCA输入，话筒接口幻象电源：+48V；</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2.具有≥2组立体声输出、≥4路编组输出、≥4路辅助输出、≥1个耳机监听输出、≥1个接口双路效果输出、≥1组控制室输出、≥1组主混音断点插入、≥6个断点插入；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3.内置≥24位DSP效果器，提供≥100种预设效果；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4.具备≥13个60mm行程的高精密碳膜推子；</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5.内置USB声卡模块，支持连接电脑进行音乐播放和声音录音；内置MP3播放器，支持≥1个USB接口接U盘播放音乐。</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数码播放器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1、多功能媒体播放器，可接收手机、平板和笔记本等设备通过蓝牙连接；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2、支持WIFI无线音频传输具备AP和net模式等工作方式；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3、支持移动硬盘、SD卡及U盘的本地播放；</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4、支持WAV/FLAC和APE等无损音乐格式；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5、支持光纤、同轴等输入接口。</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数字音频处理器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后面板具有≥8路线路音频凤凰端子平衡输入接口（具有48V幻象供电）、≥8路线路音频凤凰端子平衡输出接口、≥1个拨码开关、≥1个RJ45接口、≥1个RS232接口、≥1个RS485接口、≥8个可编程GPIO控制接口、≥1个接地柱；前面板具有≥2.0英寸IPS真彩显示屏、≥1个编码旋钮、≥1个USB存储设备接口VN.WC24219D；</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2.输入通道支持前级放大、信号发生</w:t>
            </w:r>
            <w:r>
              <w:rPr>
                <w:rFonts w:hint="eastAsia" w:ascii="宋体" w:hAnsi="宋体" w:cs="宋体"/>
                <w:bCs/>
                <w:sz w:val="24"/>
                <w:szCs w:val="24"/>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3.具有矩阵增益调节功能，每个输入通道参与混音的增益可调，增益调节范围等同或优于-72db到12db；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音频处理器具有跨平台软件，可运行的操作系统版本≥8种，包括Windows7/10/11、银河麒麟桌面操作系统（兆芯版）、银河麒麟桌面操作系统（飞腾版）、macOS系统、统信UOS、Ubuntu桌面版操作系统（签订合同时提供具有CMA</w:t>
            </w:r>
            <w:r>
              <w:rPr>
                <w:rFonts w:hint="eastAsia" w:ascii="宋体" w:hAnsi="宋体" w:cs="宋体"/>
                <w:bCs/>
                <w:sz w:val="24"/>
                <w:szCs w:val="24"/>
              </w:rPr>
              <w:t xml:space="preserve">标识</w:t>
            </w:r>
            <w:r>
              <w:rPr>
                <w:rFonts w:hint="eastAsia" w:ascii="宋体" w:hAnsi="宋体" w:cs="宋体"/>
                <w:bCs/>
                <w:sz w:val="24"/>
                <w:szCs w:val="24"/>
              </w:rPr>
              <w:t xml:space="preserve">的检测报告）；</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5.产品具有PC客户端、手机移动端、安卓平板端不同控制方式，可以通同时登入APP软件、PC客户端同时连接设备，并实现多端数据的同步；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6.设备具有编码旋钮和IPS屏幕，可用于控制和配置设备静音，增益，场景；IPS屏幕能够显示IP地址，输入和输出通道的实时电平；</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7.具有设备定位功能，客户端一键定位局域网内同类设备，被定位的设备会显示定位信息；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8.设备具有统一集中控制功能，支持≥65535台设备通过软件集中控制；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bookmarkStart w:id="190" w:name="OLE_LINK3"/>
            <w:r>
              <w:rPr>
                <w:rFonts w:hint="eastAsia" w:ascii="宋体" w:hAnsi="宋体" w:cs="宋体"/>
                <w:bCs/>
                <w:sz w:val="24"/>
                <w:szCs w:val="24"/>
              </w:rPr>
            </w:r>
            <w:r>
              <w:rPr>
                <w:rFonts w:hint="eastAsia" w:ascii="宋体" w:hAnsi="宋体" w:cs="宋体"/>
                <w:bCs/>
                <w:sz w:val="24"/>
                <w:szCs w:val="24"/>
              </w:rPr>
              <w:t xml:space="preserve">签订合同时提供具有CMA</w:t>
            </w:r>
            <w:r>
              <w:rPr>
                <w:rFonts w:hint="eastAsia" w:ascii="宋体" w:hAnsi="宋体" w:cs="宋体"/>
                <w:bCs/>
                <w:sz w:val="24"/>
                <w:szCs w:val="24"/>
              </w:rPr>
              <w:t xml:space="preserve">标识</w:t>
            </w:r>
            <w:r>
              <w:rPr>
                <w:rFonts w:hint="eastAsia" w:ascii="宋体" w:hAnsi="宋体" w:cs="宋体"/>
                <w:bCs/>
                <w:sz w:val="24"/>
                <w:szCs w:val="24"/>
              </w:rPr>
              <w:t xml:space="preserve">的检测报告</w:t>
            </w:r>
            <w:r/>
            <w:r>
              <w:rPr>
                <w:rFonts w:hint="eastAsia" w:ascii="宋体" w:hAnsi="宋体" w:cs="宋体"/>
                <w:bCs/>
                <w:sz w:val="24"/>
                <w:szCs w:val="24"/>
              </w:rPr>
            </w:r>
            <w:r>
              <w:rPr>
                <w:rFonts w:hint="eastAsia" w:ascii="宋体" w:hAnsi="宋体" w:cs="宋体"/>
                <w:bCs/>
                <w:sz w:val="24"/>
                <w:szCs w:val="24"/>
              </w:rPr>
              <w:t xml:space="preserve">）</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全频音箱</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1.阻抗≤8Ω；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2.频响等同或优于65Hz-20KHz；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3.额定功率≥250W；</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4.灵敏度≥97dB/W/M；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5.水平覆盖角≥80°，垂直覆盖角≥60°；</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6.高音≥1.4"压缩高音单元×1；</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7.低音≥10"低音×1。</w:t>
            </w:r>
            <w:r/>
          </w:p>
        </w:tc>
      </w:tr>
      <w:tr>
        <w:trPr>
          <w:jc w:val="center"/>
          <w:trHeight w:val="2549"/>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双通道功率放大器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1.标准≤1U机箱设计，采用D类数字功放设计方案；</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2.标准XLR输入接口，和LINK输出口；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3.电源采用开关电源技术，效率高，有效的抑制电源谐波；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4.内置智能削峰限幅器，支持开机软启动，防止开机时向电网吸收大电流，干扰其它用电设备；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5.具有：过压保护，欠压保护，过流保护，直流保护，输出短路保护，温控风扇等功能；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6.输出功率：立体声@8Ω：≥350W×2；立体声@4Ω：≥600W×2。</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音箱安装架</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配套定制</w:t>
            </w:r>
            <w:r>
              <w:rPr>
                <w:rFonts w:hint="eastAsia" w:ascii="宋体" w:hAnsi="宋体" w:cs="宋体"/>
                <w:sz w:val="24"/>
                <w:szCs w:val="24"/>
              </w:rPr>
              <w:t xml:space="preserve">，</w:t>
            </w:r>
            <w:r>
              <w:rPr>
                <w:rFonts w:hint="eastAsia" w:ascii="宋体" w:hAnsi="宋体" w:cs="宋体"/>
                <w:bCs/>
                <w:sz w:val="24"/>
                <w:szCs w:val="24"/>
              </w:rPr>
              <w:t xml:space="preserve">底板厚度：≥2.0mm，承重≥35KG。</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无线手持</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1.基于数字U段的传输技术，pi/4-DQPSK调制方式，采用国产主控芯片，传输距离≥80米，接收机具有≥2路平衡输出、≥1路非平衡混音输出；具有混响、均衡、智能静音、音频加密、功率调节功能；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2.具有≥1台接收主机、≥2只手持发射机；频率范围等同或优于470MHz-510MHz、540MHz-590MHz、640MHz-690MHz、807MHz-830MHz四个频段使用；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显示屏、≥1个开关机/静音按键、≥2个工作状态指示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4.具有自动静音功能，麦克风跌落、抛掷时，毫秒级自动静音，避免冲击声；实时监测设备姿态，静置≥5秒静音，≥8分钟关机，无需手动干预；</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5.具有多档位混响调节功能，混响效果≥15625个，效果占比、回响延时、混响幅度调节，三种音效各具有≥25档调节方式；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6.具有多频段均衡调节功能，均衡调节≥2197种，麦克风均衡器调节功能，具有高、中、低音三种调节档位，每种效果支持≥13档调节；</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7.具有长时间续航，发射机使用时长≥10小时；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8.具有ID码防串扰功能，采用32位唯一ID码，用于接收和发射配对，收发ID码必须相同才能对码，能够有效防止相同频率的信号相互串台；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9.接收机具有≥2个2.2英寸的TFT-LCD显示屏；发射机具有≥0.96英寸OLED显示屏，能够显示频率信息、音频加密状态、功率挡位、静音状态、电量格数信息。</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无线头戴话筒</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1.基于数字U段的传输技术，pi/4-DQPSK调制方式，采用国产主控芯片，传输距离≥80米，接收机具有≥2路平衡输出、≥1路非平衡混音输出；具有混响、均衡、智能静音、音频加密、功率调节功能；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2.具有≥1台接收主机、≥2只头戴腰包；频率范围等同或优于470MHz-510MHz、540MHz-590MHz、640MHz-690MHz、807MHz-830MHz四个频段使用；</w:t>
            </w:r>
            <w:r/>
          </w:p>
          <w:p>
            <w:pPr>
              <w:jc w:val="left"/>
              <w:spacing w:line="264" w:lineRule="auto"/>
              <w:rPr>
                <w:rFonts w:ascii="宋体" w:hAnsi="宋体" w:cs="宋体"/>
                <w:bCs/>
                <w:sz w:val="24"/>
                <w:szCs w:val="24"/>
              </w:rPr>
            </w:pPr>
            <w:r>
              <w:rPr>
                <w:rFonts w:hint="eastAsia" w:ascii="宋体" w:hAnsi="宋体" w:cs="宋体"/>
                <w:bCs/>
                <w:sz w:val="24"/>
                <w:szCs w:val="24"/>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4.具有多档位混响调节功能，混响效果≥15625个，效果占比、回响延时、混响幅度调节，三种音效各具有≥25档调节方式；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5.具有多频段均衡调节功能，均衡调节≥2197种，麦克风均衡器调节功能，具有高、中、低音三种调节档位，每种效果支持≥13档调节；</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6.具有长时间续航，发射机连续使用时长≥10小时；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7.具有ID码防串扰功能，采用32位唯一ID码，用于接收和发射配对，收发ID码必须相同才能对码，能够有效防止相同频率的信号相互串台；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8.接收机具有≥2个2.2英寸的TFT-LCD显示屏；发射机具有≥0.96英寸OLED显示屏，能够显示频率信息、音频加密状态、功率挡位、静音状态、电量格数信息。</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反馈抑制器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1.基于啸叫检测门限更新法，具有移频+陷波反馈抑制功能，可以使用≥48个可编程陷波点；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前面板具有≥48个LED灯陷波状态指示灯（具有≥2×12个静态点和≥2×12个动态点）、≥2英寸IPS真彩显示屏、≥1个编码旋钮；后面板具有≥1个船形开关、≥2路XLR母座+2路TRS母座模拟输入、≥2路XLR公座+2路TRS母座模拟输出、≥1个RJ45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3.设备具有编码旋钮和≥2.0英寸IPS屏幕，可用于控制和配置设备直通、场景。IPS屏幕能够显示IP地址，输入和输出通道的实时电平；</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4.具有设备定位，PC客户端具有一键定位局域网内同类设备功能，被定位到的设备会在显示屏上显示定位信息；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5.设备具有统一集中控制功能，支持≥65535台设备通过软件集中控制；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6.支持多客户端数据同步，≥2个客户端以上连接混音器设备时，可实现多端数据同步；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线性音柱音箱</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1.采用≥8只3寸全频喇叭单元；</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2.箱体采用≥12mm高密度板，CNC加工，耐磨喷漆处理；</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3.拼接排列扬声器设计；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4.额定功率≥300W；峰值功率≥1200W；</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5.灵敏度≥95dB(1M/1W)；</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6.最大声压级（额定/峰值）：120dB/126dB；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7.标称阻抗≤4Ω；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8.频率范围等同或优于70Hz-20kHz。</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音箱功放</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1.标准≤1U机箱设计，采用D类数字功放设计方案；</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2.标准XLR输入接口，和LINK输出口；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3.电源采用开关电源技术，效率高，有效的抑制电源谐波；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4.内置智能削峰限幅器，支持开机软启动，防止开机时向电网吸收大电流，干扰其它用电设备；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5.具有：过压保护，欠压保护，过流保护，直流保护，输出短路保护，温控风扇等功能；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6.输出功率：立体声@8Ω：≥350W×2；立体声@4Ω：≥600W×2。</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桌面式电容话筒</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1.设备具有话筒增益调节接口，可调节话筒增益；</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2.设备支持幻象供电、电池供电供电方式；电池支持连续发言≥60小时；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3.设备底部具有电池电源拨动开关，可根据实际使用状态手动开关话筒电池电源；</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4.开麦具有指示灯提示，按键开启后，咪杆指示灯亮起；</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5.指向性：心形指向性；信噪比：≥80dB(A)；频率响应：等同或优于80Hz~16KHz；输出阻抗：≥75Ω；灵敏度：≥-38±2dB。</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无线天线分配器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1.具备≥2个天线输入接口，支持接收天线信号，实现分配多路射频信号的效果；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2.具备放大射频信号，补偿因信号功率被分配至多个输出而造成的插入损耗；</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3.具备≥2个天线级联接口，支持无限制级联分配器，可实现扩展无线话筒的目的；</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4.具备≥4个直流电源输出接口，支持给≥4台接收机供电，减少适配器数量和免去繁琐布线。</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无线话筒天线</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1.射频频率范围等同或优于470～950MHz；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2.驻波比：≤2.0；</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3.输入阻抗：≤50Ω；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4.指向性：≥180度指向。</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桌面话筒架</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高度：等同或优于160-200mm。</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50Ω同轴电缆</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50Ω同轴电缆不低于30米，用于无线话筒天线延长使用，750MHz频率下，每100米约衰减不大于20dB。</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音箱架</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配套定制</w:t>
            </w:r>
            <w:r>
              <w:rPr>
                <w:rFonts w:hint="eastAsia"/>
              </w:rPr>
              <w:t xml:space="preserve">，</w:t>
            </w:r>
            <w:r>
              <w:rPr>
                <w:rFonts w:hint="eastAsia" w:ascii="宋体" w:hAnsi="宋体" w:cs="宋体"/>
                <w:bCs/>
                <w:sz w:val="24"/>
                <w:szCs w:val="24"/>
              </w:rPr>
              <w:t xml:space="preserve">底板厚度：≥2.0mm，承重≥35KG。</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8路电源时序器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1.配备LCD显示屏，支持显示温度信息，实时输入电压信息、时间信息、IP信息，定时任务信息；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2.具有≥8路单通道≥10A电源输出插座，总输出电流≥30A，支持实时监控插座功率；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3.具有≥2个10M/100M网口，≥2路RS-485接口，≥1路USB接口提供照明灯供电；配备≥1个监听扬声器，支持人声报警提示；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4.支持过载、短路保护功能；支持连接PC可视化界面进行远程操控；支持网络远程固件升级，支持主从机级联，支持通过一路网口接入局域网使用软件控制所有级联设备；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5.具备对每一路电源输出进行定时编程，支持每路开关时序间隔动作延迟时间调节设置；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6.支持实时检测设备温度，支持拓展外接温湿度传感器，显示外部环境温湿度；</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7.具备自定义设置电源锁开启后每个通道开启、关闭、保持关闭前状态；支持设置对应通道的上下限位值、对应的超限动作和动作延时，支持调节报警音量大小；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8.支持电压、电流或温湿度超过限定值播放相应的人声报警，恢复正常时自动停止；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9.支持通过主设备电源锁可一键开启或关闭所有从设备；支持独立控制每一路电源输出，支持一键全开或全关；支持一键紧急打开或者关闭全部电源；</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10.支持PC界面控制、定时控制、手动控制、串口控制方式。</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智慧融合终端</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1.集成千兆交换机功能，具备≥4个RJ45网口；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2.具备≥4路RS232通信端口，具备≥1路RS485通信端口，具备≥1路干接点接口，具备≥1路12V/2A输出接口，具备≥2路GPIO接口；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▲3.板载集成HDMI4*4全交叉无缝矩阵,具备≥4路HDMI输入接口，具备≥6路HDMI输出接口。输入和输出接口均支持4K高清分辨率（</w:t>
            </w:r>
            <w:bookmarkStart w:id="191" w:name="OLE_LINK2"/>
            <w:r>
              <w:rPr>
                <w:rFonts w:hint="eastAsia" w:ascii="宋体" w:hAnsi="宋体" w:cs="宋体"/>
                <w:bCs/>
                <w:sz w:val="24"/>
                <w:szCs w:val="24"/>
              </w:rPr>
              <w:t xml:space="preserve">签订合同时提供具有</w:t>
            </w:r>
            <w:bookmarkEnd w:id="191"/>
            <w:r>
              <w:rPr>
                <w:rFonts w:hint="eastAsia" w:ascii="宋体" w:hAnsi="宋体" w:cs="宋体"/>
                <w:bCs/>
                <w:sz w:val="24"/>
                <w:szCs w:val="24"/>
              </w:rPr>
              <w:t xml:space="preserve">CMA标识的第三方检测</w:t>
            </w:r>
            <w:r>
              <w:rPr>
                <w:rFonts w:hint="eastAsia" w:ascii="宋体" w:hAnsi="宋体" w:cs="宋体"/>
                <w:bCs/>
                <w:sz w:val="24"/>
                <w:szCs w:val="24"/>
                <w:lang w:eastAsia="zh-CN"/>
              </w:rPr>
              <w:t xml:space="preserve">报告</w:t>
            </w:r>
            <w:r>
              <w:rPr>
                <w:rFonts w:hint="eastAsia" w:ascii="宋体" w:hAnsi="宋体" w:cs="宋体"/>
                <w:bCs/>
                <w:sz w:val="24"/>
                <w:szCs w:val="24"/>
              </w:rPr>
              <w:t xml:space="preserve">）。</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控制面板</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1.具备≥7英寸高分辨率工业触摸屏，支持触摸屏控制界面定制。支持画面切换，声音调整，设备控制。支持广播信号本地暂停收听及音量调节；</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2.具备二维码扫码摄像头，支持通过云平台系统实现二维码反扫及扫码开机。集成IC卡读卡器，支持刷卡开机，支持安装底座实现插卡开机；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3.内置扬声器、拾音器，集成音频编解码功能，通过配套主机及系统平台实现远程IP对讲、语音监听等功能；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4.具备物联网关功能，可接入同品牌无线麦克风，可接入最大30路2.4G无线物联模块，可接入≥2路无线电子时钟，通过配套主机及系统平台实现对接入的物联模块进行策略管理；</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5.支持充电桩麦克风未归位语音提醒，支持关机倒计时语音提示，支持外接传感器数据实时显示。</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时序电源</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1.支持≥1路最大20A，220V电源输入，具备≥7路独立220V受控电源输出接口，每路最大支持1700W负载，总负载最大支持4400W；</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2.支持Modbus协议或IP网络与同品牌智能终端或其他第三方终端相连并对其所连接的电源设备进行管理和控制；支持IO输入状态查询、级联、能耗统计及上报。</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视频直播工作站</w:t>
            </w:r>
            <w:r/>
          </w:p>
        </w:tc>
        <w:tc>
          <w:tcPr>
            <w:tcW w:w="7790" w:type="dxa"/>
            <w:vAlign w:val="center"/>
            <w:textDirection w:val="lrTb"/>
            <w:noWrap w:val="false"/>
          </w:tcPr>
          <w:p>
            <w:pPr>
              <w:jc w:val="left"/>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1.集成≥10英寸触摸显示屏。不少于1路HDMI输入接口、1路HDMI输出接口、1路有线麦克风输入接口、2路3.5mm音频输入接口、1路3.5mm音频输出接口、1个RJ45网口；</w:t>
            </w:r>
            <w:r>
              <w:rPr>
                <w:color w:val="000000" w:themeColor="text1"/>
              </w:rPr>
            </w:r>
          </w:p>
          <w:p>
            <w:pPr>
              <w:jc w:val="left"/>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2.支持预览信号源画面内容，查看音频通道状态、分组信息。支持全高清1920*1080P实时编码，支持设置推流码率，实现高码率、中码率、低码率实时切换；</w:t>
            </w:r>
            <w:r>
              <w:rPr>
                <w:color w:val="000000" w:themeColor="text1"/>
              </w:rPr>
            </w:r>
          </w:p>
          <w:p>
            <w:pPr>
              <w:jc w:val="left"/>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3.集成数字调音台功能，支持对接入的音频信号进行高音、中音、低音、混音设置与音量调整；</w:t>
            </w:r>
            <w:r>
              <w:rPr>
                <w:color w:val="000000" w:themeColor="text1"/>
              </w:rPr>
            </w:r>
          </w:p>
          <w:p>
            <w:pPr>
              <w:jc w:val="left"/>
              <w:spacing w:line="264"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▲4.支持通过系统平台和微信小程序对本机进行远程控制、成员选择，可实现远程定时播放功能，支持强制接收，支持0-99级广播优先级选择（签订合同时提供功能截图）。</w:t>
            </w:r>
            <w:r>
              <w:rPr>
                <w:color w:val="000000" w:themeColor="text1"/>
              </w:rP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无线投屏</w:t>
            </w:r>
            <w:r/>
          </w:p>
        </w:tc>
        <w:tc>
          <w:tcPr>
            <w:tcW w:w="7790" w:type="dxa"/>
            <w:vAlign w:val="center"/>
            <w:textDirection w:val="lrTb"/>
            <w:noWrap w:val="false"/>
          </w:tcPr>
          <w:p>
            <w:pPr>
              <w:ind w:left="0" w:right="0" w:firstLine="0"/>
              <w:spacing w:before="0" w:after="0" w:line="62" w:lineRule="atLeast"/>
              <w:rPr>
                <w:rFonts w:ascii="SimSun" w:hAnsi="SimSun" w:eastAsia="SimSun" w:cs="SimSun"/>
                <w:color w:val="000000" w:themeColor="text1"/>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1.支持Air Play、Miracast、WIDI投射协议投屏，</w:t>
            </w:r>
            <w:r>
              <w:rPr>
                <w:rFonts w:ascii="SimSun" w:hAnsi="SimSun" w:eastAsia="SimSun" w:cs="SimSun"/>
                <w:color w:val="000000" w:themeColor="text1"/>
                <w:sz w:val="24"/>
              </w:rPr>
              <w:t xml:space="preserve">能够将iOS设备、</w:t>
            </w:r>
            <w:r>
              <w:rPr>
                <w:rFonts w:ascii="SimSun" w:hAnsi="SimSun" w:eastAsia="SimSun" w:cs="SimSun"/>
                <w:color w:val="000000" w:themeColor="text1"/>
                <w:sz w:val="24"/>
              </w:rPr>
              <w:t xml:space="preserve">mac</w:t>
            </w:r>
            <w:r/>
            <w:r>
              <w:rPr>
                <w:rFonts w:ascii="SimSun" w:hAnsi="SimSun" w:eastAsia="SimSun" w:cs="SimSun"/>
                <w:color w:val="000000" w:themeColor="text1"/>
                <w:sz w:val="24"/>
              </w:rPr>
            </w:r>
            <w:r/>
            <w:r>
              <w:rPr>
                <w:rFonts w:ascii="SimSun" w:hAnsi="SimSun" w:eastAsia="SimSun" w:cs="SimSun"/>
                <w:color w:val="000000" w:themeColor="text1"/>
                <w:sz w:val="24"/>
              </w:rPr>
            </w:r>
            <w:r>
              <w:rPr>
                <w:color w:val="000000" w:themeColor="text1"/>
                <w:sz w:val="22"/>
              </w:rPr>
            </w:r>
          </w:p>
          <w:p>
            <w:pPr>
              <w:ind w:left="0" w:right="0" w:firstLine="0"/>
              <w:spacing w:before="0" w:after="0" w:line="62" w:lineRule="atLeast"/>
              <w:rPr>
                <w:color w:val="000000" w:themeColor="text1"/>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OS设备、Android设备、Windows设备不安装任何APP或者插件的前提下直接无线投屏；</w:t>
            </w:r>
            <w:r>
              <w:rPr>
                <w:color w:val="000000" w:themeColor="text1"/>
              </w:rPr>
            </w:r>
            <w:r/>
          </w:p>
          <w:p>
            <w:pPr>
              <w:ind w:left="0" w:right="0" w:firstLine="0"/>
              <w:spacing w:before="0" w:after="0" w:line="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2.支持2路同时无线投屏显示，支持4路信号同显，支持批注白板、录屏等教学功能；</w:t>
            </w:r>
            <w:r>
              <w:rPr>
                <w:color w:val="000000" w:themeColor="text1"/>
              </w:rPr>
            </w:r>
          </w:p>
          <w:p>
            <w:pPr>
              <w:ind w:left="0" w:right="0" w:firstLine="0"/>
              <w:spacing w:before="0" w:after="0" w:line="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3.支持手机、平板设备安装遥控器软件用于移动教学；</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4.视频输出：最大支持4K高清视频，支持30FPS帧率。</w:t>
            </w:r>
            <w:r>
              <w:rPr>
                <w:color w:val="000000" w:themeColor="text1"/>
              </w:rPr>
            </w:r>
            <w:r>
              <w:rPr>
                <w:rFonts w:hint="eastAsia" w:ascii="宋体" w:hAnsi="宋体" w:cs="宋体"/>
                <w:bCs/>
                <w:color w:val="000000" w:themeColor="text1"/>
                <w:sz w:val="24"/>
                <w:szCs w:val="24"/>
              </w:rPr>
            </w:r>
            <w:r>
              <w:rPr>
                <w:color w:val="000000" w:themeColor="text1"/>
              </w:rPr>
            </w:r>
            <w:r>
              <w:rPr>
                <w:color w:val="000000" w:themeColor="text1"/>
                <w:sz w:val="22"/>
              </w:rP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主讲端智能云盒</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1.CPU：≥双核心、双线程、1.8GHZ、三级缓存2MB；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2.RAM：≥8G；</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3.内置存储：≥128G，可扩充到2TB；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4.影音接口：≥2路HDMI输入接口、2路HDMI输出接口、LineIn*1、LineOut*1；</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5.I/O接口：≥3个USB接口并支持扩展，3个10/100/1000Mbps以太网RJ45接口；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6.视频输出：最大支持4K高清视频，支持30FPS帧率；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7.扩展：具有“录制”按钮，可一键式录制课程；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8.内置无线AP功能/WiFi支持。</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主讲端交互模块</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互动控制系统无需硬件遥控器或USB切换器，用户只需扫码下载遥控器APP，即可将移动终端作为控制端，支持Windows、Android、iOS系统安装控制端软件。使用遥控器APP可拍摄多达16张照片或录制多达16段短视频上传至屏幕显示，亦可将遥控器（手机/平板/电脑端）本地的多达16个文件，上传至屏幕分屏显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2.屏幕工具条：用户可直接在触控显示屏上触控操作；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3.支持设备的有线接入：设备具有≥1路HDMI输入接口，具有≥1路HDMI输出接口；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4.双屏教学支持：镜像模式、扩展模式两种切换效果；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5.支持三大类公有传输协议投屏：支持AirPlay、Miracast、WIDI投射协议投屏；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6.手写板：支持手写板通过Wifi网络连接到智能云盒，手写板书写笔迹可实时通过智能云盒展示；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7.音频输入输出接口：设备支持3.5mm音频输入和3.5mm音频输出功能；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▲9.分组教学：教师上课前，通过创建合作组，并随即生成一个入组验证码；小组屏通过输入验证码</w:t>
            </w:r>
            <w:r>
              <w:rPr>
                <w:rFonts w:hint="eastAsia" w:ascii="宋体" w:hAnsi="宋体" w:cs="宋体"/>
                <w:bCs/>
                <w:sz w:val="24"/>
                <w:szCs w:val="24"/>
              </w:rPr>
              <w:t xml:space="preserve">，加入到教师指定的合作组里；任何小组屏都可以作为教师端，进行创建和解散合作组。教师可以通过广播功能，把教师端显示内容同步到指定的单个或多个小组屏上。通过切屏功能，可以抓取多个小组屏内容到教师端，进行对比教学。还可以把任何一个小组屏幕内容，演示到其他指定的单个或多个小组屏上。同时支持教师选择文件资料发送到全部分组或指定的单个或多个分组，实现多样化的分组讨论场景。以上多屏小组互动，支持同时批注操作。支持教师端对分组设备进行管控，包括控制小组屏录制、息屏、唤醒、关机重启、音量调节等操作（签订合同时提供功能截图）。</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小组智能云盒</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1.CPU：≥双核心、双线程、1.8GHZ、三级缓存2MB；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2.RAM：≥8G；</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3.内置存储：≥128G，可扩充到3TB；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4.影音接口：≥1路HDMI输入接口、1路HDMI输出接口、LineIn*1、LineOut*1；</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5.I/O接口：≥3个USB接口并支持扩展，3个10/100/1000Mbps以太网RJ45接口；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6.视频输出：最大支持4K高清视频，支持30FPS帧率；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7.扩展：具有“录制”按钮，可一键式录制课程；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8.内置无线AP功能/WiFi支持。</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小组端交互模块</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1．软件遥控器：投屏控制系统无需硬件遥控器或USB切换器，用户只需扫码下载遥控器APP即可将移动终端作为控制端；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2.屏幕工具条：用户可直接在触控显示屏上触控操作；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3．支持16路投屏终端同步显示；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4．支持三大类公有传输协议投屏：支持AirPlay、Miracast、WIDI投射协议投屏；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5．支持设备的有线接入：HDMI输入接口支持电脑、摄像头、实物展台等外部设备的有线接入，HDMI输出接口支持连接显示终端设备；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6．支持对显示终端进行全屏缩放；</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7．支持批注功能；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8.支持画面截屏：通过截屏功能，可一键截取当前投屏显示内容画面，通过微信、微博、QQ等第三方应用程序分享发送，并支持存储在U盘或局域网云盘中；</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9．一键微课录制；</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10.小组讨论：小组内的成员，可以把自己的移动终端投射到小组屏上进行展示讲解，可以支持多人设备同时投屏对比讲解，支持同时批注操作。</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手写板</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1.采用电磁压感，无源无线，压感等级≥2048levels，感应精度不低于正负0.254mm；</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2.采用wifi双频传输，≥0.96寸OLED显示屏，≥128*6412C/SPI接口液晶屏，可显示连接状态、电量、设备ID等信息；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3..电池容量不小于4400mAh，续航时间：实时模式连接不间断书写时间不低于20个小时；支持Type-C接口充电；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4.支持60个学生设备数据并发传输，通过无线路由器（AP）的wifi实现无线传输点对点发射，无干扰；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5.笔在纸上书写的同时，书写内容被实时传送到接收端屏幕，从而实现纸上互动教学和交流的目标；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6.同时完成对学生书写过程数据的采集记录与分析，实现了教学的信息化与数据化；</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7.配备专用数字出水笔，压感灵敏度≥2048级，电磁感应方式。</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手写板充电柜</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1.支持设备数量：≥60台；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2.充电电压：宽电压设计，4.5V～5.5V；</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3.过温启停：过温自动关断和重启；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4.充电电流：最大限流值为2.4A，电流过流响应时间为2us，关断自动泄放动能；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5.安全配置：配备剩余电流保护短路系统；</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无线高密AP</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1.支持可工作在802.11a/b/g/n/ac/acwave2/ax模式；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2.采用三射频设计，所投产品支持3个射频接入，其中两个5GHz射频，一个2.4GHz射频；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3.为保证高密用户接入，整机5GHz射频空间流≥4流，2.4GHz射频空间流≥2流，最大接入速率5.375Gbps；</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4.接口≥3个10/100/1000M电口；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5.整机接入用户规格≥384；</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6.支持包括802.1x认证、PSK认证、MAC、PPPOE、Portal、微信、短信等认证加密方式，用以保护无线网络安全；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7.在网络拥塞情况下，支持对终端报文进行识别，可对关键业务优先处理并加速，提升用户体验。</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智慧教学移动终端</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1.终端尺寸：≥10.95英寸，分辨率：≥1920×1200；</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2.采用：≥八核CPU，主频：≥2.0GHz；</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3.内存容量：≥6GB；存储容量：≥128GB；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4.电池容量：≥8000mAh（典型值）；</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5.摄像头：双摄像头，前置≥800万像素，后置≥800万像素，后摄支持文档矫正增强功能，可以倾斜拍摄文档，并进行自动矫正和文字效果显示增强。</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充电车</w:t>
            </w:r>
            <w:r/>
          </w:p>
        </w:tc>
        <w:tc>
          <w:tcPr>
            <w:tcW w:w="7790" w:type="dxa"/>
            <w:vAlign w:val="center"/>
            <w:textDirection w:val="lrTb"/>
            <w:noWrap w:val="false"/>
          </w:tcPr>
          <w:p>
            <w:pPr>
              <w:jc w:val="left"/>
              <w:spacing w:line="264" w:lineRule="auto"/>
              <w:rPr>
                <w:rFonts w:ascii="宋体" w:hAnsi="宋体" w:cs="宋体"/>
                <w:bCs/>
                <w:sz w:val="24"/>
                <w:szCs w:val="24"/>
              </w:rPr>
            </w:pPr>
            <w:r>
              <w:rPr>
                <w:rFonts w:hint="eastAsia" w:ascii="宋体" w:hAnsi="宋体" w:cs="宋体"/>
                <w:bCs/>
                <w:sz w:val="24"/>
                <w:szCs w:val="24"/>
              </w:rPr>
              <w:t xml:space="preserve">1、支持设备数量：≥60台；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2、充电接口：220V插座。</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融合系统支撑平台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1.基于定制的Linux操作系统，集成MySql数据库。系统具备安全性管理，支持搜索功能，支持超级管理员指定时间日志统计和清除功能；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2.系统支持跨网段组播(≥20路网段），可实现智能终端设备的跨网段集控管理以及高清音视频流的跨网段传输、播放等业务，软件提供路由设置可实现双网卡内外网数据传输管理；</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3.支持客户端基于BS构架的web登陆方式，依权限的不同管理不同的智能终端；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4.软件支持操作系统的远程重启和关机。提供网卡、路由、网关、DNS等网络基本参数配置。支持NTP网络同步时间；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5.通过微信小程序可远程对终端设备及物联模块进行定时集控管理（设备开机、关机、禁用，物联模块开电、关电等）；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6.具有对终端（智能终端）远程实时监控、操作、预定操作等可视化及智能化的设备管理功能，支持对终端所连接的电脑进行Windows桌面的远程监控和远程控制功能；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7.支持web远程登陆服务器进行远程修改、设置IP地址，远程重启系统；</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8、与学校基础数据平台（pc端及移动端）进行对接，费用包含在投标总价中（采购人负责协调对接工作，联系人联系方式详见招标文件第一章）。</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资源管理平台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1.教师可加入多个班级进行授课，并可在授课过程中无缝切换班级。支持教师查看当前授课班级的小组、学生在线名单及详情，支持在界面中直观显示在线、离线学生名单；</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3.支持自习模式、听课模式便捷切换；自习模式下，学生可自主查阅资料；听课模式下，教师可管控学生设备，并支持在管控状态下进行互动；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4.支持无走动巡堂，可采集不少于4个学生的屏幕，采集过程学生屏幕自动管控，支持更换、增删学生屏幕的操作，帮助教师快速总览学生学习情况；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6.支持课堂选人回答功能，支持学生抢答、教师随机抽选等方式；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7.支持学生通过终端发表个人观点，可输入不少于6条观点。教师端可自动生成观点文字排布图，并支持筛选词频展示主流观点。支持按照观点相同人数进行排序展示。支持随机抽选单个学生展示其观点；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8.支持教师调用精品题库进行随堂小测，可预设答题时间，并在小测结束后自动批改客观题；全程提供作答进度、正确率等数据，供教师掌控测验进度及测验重难点；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9.支持教师调用题库资源自定义生成答题竞赛小游戏。答题结果支持自动批改，即时展现学生答题正确率和答题时间，生成学生积分榜；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所有答题互动自动生成报告单，教师可通过移动二维码或本地下载等方式获取本节课程内所有答题互动记录。记录包括：互动次数、未参与学生、答题类型、各题各选项的选择名单、各题目正确率、生生互动评分详情等。</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教学资源综合应用平台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一、平台应用参数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1.采用B/S架构，用户通过浏览器即可轻松实现直播管理、点播管理、用户管理、资源分类、用户认证、权限设置等核心功能，并且能够即时生成点播资源，操作便捷高效；</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2.支持在国产信创环境下部署，凭借优化的系统架构，提供高效的执行效率，为用户带来流畅、优质的使用体验；</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3.具备用户批量导入功能，支持用户的初始化导入、用户组管理以及用户权限管理。同时，为教师和学生提供注册、个人信息管理等一站式服务，提升用户管理效率；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4.管理员可对后台频道栏目进行全面维护，包括添加、删除、修改及发布等操作，确保栏目内容的及时更新和准确展示；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5.系统支持用户和节目分级别管理。经过授权的用户能够实时对直播、点播节目进行添加、修改、删除、发布和授权等操作，保障节目管理的灵活性和安全性；</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6.用户可通过IE、谷歌等主流浏览器观看相应的直播、点播内容，满足不同用户的使用习惯；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7.支持学校内所有录播主机进行智能对接，实现无缝集成。不仅能智能化管理教室内设备，确保设备正常运作和资源高效上传，还能实现无人全智能运行模式。同时，开放相应接口，方便第三方录播主机接入；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8.支持对平台使用的名称、logo等进行自定义配置，满足校级平台个性化定制需求，打造专属的平台形象。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二、基础管理模块</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1.具有学校管理、学段管理、学科管理、帐号管理、组织架构管理、年级管理、平台公告、角色管理、系统设置、操作日志的功能。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三、个人教研模块</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1.具有个人工作台、教研管理、空间管理、空间教研活动、个人教研活动、课堂观察、历史记录、我的收藏、我的视频、我的教案的功能。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四、教研管理模块</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具有教研活动数据统计展示、多级联动数据查看、区域学校数据管理、数据筛选与导出、自定义空间数据查看、录播主机管理、区域级空间管理、区域教研活动创建、问卷分类与维度自定义、问卷评价类型设置、评价维度复制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五、集体备课模块</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1.多人协同文档编辑：支持多人同时对WORD、PPT、EXCEL及其对应格式（PPTX、DOCX、XLSX）的文档进行协同编辑，提升备课效率；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2.在线研讨功能：支持文字和图片形式的在线研讨，每条研讨内容均可回复，用户可自行管理自己的研讨信息；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3.备课文档管理：用户能够上传、管理和预览备课文档，方便资料的整理与查看；</w:t>
            </w:r>
            <w:r/>
          </w:p>
          <w:p>
            <w:pPr>
              <w:jc w:val="left"/>
              <w:spacing w:line="264" w:lineRule="auto"/>
              <w:rPr>
                <w:rFonts w:ascii="宋体" w:hAnsi="宋体" w:cs="宋体"/>
                <w:bCs/>
                <w:sz w:val="24"/>
                <w:szCs w:val="24"/>
              </w:rPr>
            </w:pPr>
            <w:r>
              <w:rPr>
                <w:rFonts w:hint="eastAsia" w:ascii="宋体" w:hAnsi="宋体" w:cs="宋体"/>
                <w:bCs/>
                <w:sz w:val="24"/>
                <w:szCs w:val="24"/>
              </w:rPr>
              <w:t xml:space="preserve">4.推荐资源服务：可依据学科和学段推荐相应资源，教师可通过引用推荐资源，快速协同完成备课工作。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5.AI教案生成：借助自然语言处理和生成式AI技术，结合教师输入的基础教学信息，自动分析教材与教学要求，快速生成教案和学案初稿，且支持教师修改保存。</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6.AI备课助手：支持教师提问或聊天，自动快速生成相关内容，教师可一键插入或复制到教学设计中，辅助快速完成备课设计。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7.教学模式诊断：基于教师的教学设计，系统可智能诊断其教学模式，并生成诊断报告，为教学优化提供参考。</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8.活动反思管理：支持上传和预览活动反思文档，助力教师总结备课经验。</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9.数据统计功能：支持对教研活动参与人员、研讨过程等数据进行统计，为活动评估提供数据支撑。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10.文档下载功能：支持备课文档的下载，方便教师离线查看和使用。</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11.异步协同备课：支持对主备教师的教学设计进行点赞、评论等操作，实现异步协同备课，促进教师间的交流与合作。</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六、听课模块</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1.视频回放功能：支持视频回放，涵盖播放、暂停、快进、快退、音量调节、倍速播放等操作，为用户提供流畅的观看体验。</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2.评课文档管理：支持评课文档的上传与预览，兼容WORD、PPT、EXCEL及其对应格式（PPTX、DOCX、XLSX），方便用户查看和整理资料。</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3.课堂讨论互动：支持以文字和图片形式开展课堂讨论，每条研讨内容均可回复，用户可自主管理自己的研讨信息。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4.量化评分系统：支持对听课内容进行量化评分，同时显示评分进度和评分总数，为听课评价提供数据支持。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5.听课文档操作：支持听课文档的上传与预览功能，便于用户保存和查看相关资料。</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6.数据统计分析：对听评参与人数、评论次数、浏览次数等数据进行统计，为教学评估提供参考依据。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7.智能教态分析：通过录播或直播视频采集教师情绪、手势、头部等数据，全程客观记录并分析课堂教学情况。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8.智能提问分析：基于录播或直播视频的音频文本，识别并诊断课堂提问类型，助力教学策略优化。</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9.教师语言分析：借助音频转写和分类技术，识别诊断教师语言类型，包括授课、提问等，为教学语言改进提供参考。</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10.智能行为检测：采集分析教师行为数据，对巡堂、指导等教学行为进行分析，播放视频时可同步检测，需对接录播系统或提供接口。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11.智能轨迹识别：实时追踪记录教师行动轨迹，在播放视频时可查看，需对接录播系统或提供接口。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12.课堂词汇分析：实时捕捉解析课堂对话，精准识别统计高频词、敏感词、语气词，为教学反馈提供有力支持。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13.听课模板服务：按需提供多种听课模板，支持教师查看设计、记录笔记、评分等功能，提高听课效率。</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七、主题研修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1.具有多格式支持、活动研讨功能、备课文档管理、活动反思支持、数据统计的功能。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八、教研空间</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1.具有自定义教研空间、空间视觉自定义、空间人员管理、空间资源管理、空间数据统计、空间公告与资讯管理、空间访问信息展示的功能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九、数据统计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1.时间维度可视化：系统支持按不同年份进行时间维度的数据统计，并在数据大屏上进行可视化展示，为用户呈现全面、精准的数据视图。</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2.多类型数据采集：具备对所有教研活动、参与人数以及空间数量的统计功能，能够精确采集和汇总相关数据，为后续分析提供坚实基础。</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3.趋势深度分析：可对所有教研活动的开展趋势进行深度分析，并以直观的方式在界面上展示其发展态势，帮助用户把握活动走向。</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4.活动排名展示：支持对所有教研活动进行排名统计，并在系统界面上展示相应的排行榜，使用户能快速了解活动热度。</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5.AI分析结果呈现：提供AI课堂分析结果的展示功能，将智能分析得出的课堂数据以清晰易懂的形式呈现给用户，辅助教学决策。</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十、系统对接</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根据学校要求，导入学校基础数据到系统平台并做好权限分配；根据学校需求和实际情况，开放系统接口，配合学校原有平台的开发商，将本系统纳入学校统一管理，采购人负责协调对接工作，联系方式详见第一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2.配合学校数据中心平台统一认证要求，开放数据接口，费用包含在投标总价中；</w:t>
            </w:r>
            <w:r/>
          </w:p>
          <w:p>
            <w:pPr>
              <w:ind w:left="0" w:right="0" w:firstLine="0"/>
              <w:jc w:val="both"/>
              <w:spacing w:before="0" w:after="0"/>
              <w:rPr>
                <w:rFonts w:hint="eastAsia" w:ascii="宋体" w:hAnsi="宋体" w:cs="宋体"/>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Cs/>
                <w:sz w:val="24"/>
                <w:szCs w:val="24"/>
              </w:rPr>
              <w:t xml:space="preserve">3.根据学校指向性需求进行二次开发，提供平台应用二次开发服务，保证所有功能开发在</w:t>
            </w:r>
            <w:r>
              <w:rPr>
                <w:rFonts w:hint="eastAsia" w:ascii="宋体" w:hAnsi="宋体" w:cs="宋体"/>
                <w:bCs/>
                <w:color w:val="000000" w:themeColor="text1"/>
                <w:sz w:val="24"/>
                <w:szCs w:val="24"/>
              </w:rPr>
              <w:t xml:space="preserve">15个工作日完成。</w:t>
            </w:r>
            <w:r>
              <w:rPr>
                <w:rFonts w:ascii="Times New Roman" w:hAnsi="Times New Roman" w:eastAsia="Times New Roman" w:cs="Times New Roman"/>
                <w:color w:val="000000" w:themeColor="text1"/>
                <w:sz w:val="22"/>
              </w:rP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bCs/>
                <w:color w:val="000000" w:themeColor="text1"/>
                <w:sz w:val="24"/>
                <w:szCs w:val="24"/>
              </w:rPr>
            </w: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供应商需在签订合同后</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个工作日携设备抵达采购人指定地点进行功能演示，如无法响应投标文件内容，采购人将拒绝支付合同款，追究其责任。</w:t>
            </w:r>
            <w:r/>
            <w:r>
              <w:rPr>
                <w:rFonts w:ascii="Times New Roman" w:hAnsi="Times New Roman" w:eastAsia="Times New Roman" w:cs="Times New Roman"/>
                <w:sz w:val="22"/>
                <w:szCs w:val="22"/>
              </w:rP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AI大数据分析模块</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一、综合分析能力</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1.多维度行为分析：同时支持课堂行为和语言行为分析。</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2.行为分析：涵盖教师讲授、师生互动、教师板演、使用课件、教师巡视、齐声朗读、独立学习、学生应答、运动轨迹等多种教学行为识别维度。</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3.语言分析：包含教师语速、授课音量、总字数、教师口头禅、高频词、教师提问类型、教师课堂实录、课堂对话、课堂点名等内容。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二、AI分析大屏功能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1.展示模型：支持以秒为颗粒度，对各类教学行为进行基于AI功能的全自动伴随式分析。以课堂时间为轴线生成课堂教学评估数据，并以图表形式直观展示每个时刻的行为类型和持续时长。</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2.弗兰德斯教学行为分析法（S-T）：支持根据图像识别全自动跟踪数据生成S-T曲线图，助力用户提升和评估教学技能。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3.RT-CH教学模型：引入RT-CH教学分析模型，系统自动生成矩阵图，判定授课类型为对话型、练习型、混合型或讲授型。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4.师生互动分析：利用AI教研技术深度分析课堂教学，依据自主研发的特定模型对数据分组，将课堂师生互动交流数据摘录并转化为文字，可通过文字直接定位到相关视频界面。</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5.教师语速与字数统计：分离教师和学生声音，统计教师语速和总字数。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6.教师口头禅高频词统计：分离教师和学生声音，统计教师口头禅高频词。</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7.教师提问深度分析：依据布鲁姆教学分类法，将认知思维过程分为记忆、理解、应用、分析、评价和创造六个层级，对教师提问的每个问题进行分析。</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课堂对话研究：深入分析教师对学生的每个对话，以及课堂教学中的师生对话、生生对话。对话类型包括老师让其他学生评价、老师追问、老师让其他学生补充回答、老师简单表扬、老师鼓励学生、老师补充答案、老师批评、老师纠正并指出错误、老师重复答案、老师进行简单提示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课堂行为时序展示：支持统计整个课程期间授课教师的授课行动轨迹，生成以教室横纵坐标为基准的教师轨迹热力分布图。同时提供各种课堂行为时序图，直观展示教师行动轨迹和其他课堂行为，帮助教师全面了解教学情况和行为特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10.学生知识掌握分析：以SOLO模型为基础，分析学生对知识的接收程度。</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11.学习行为分布分析：依据学习金字塔模型，分析整堂课中学生的学习行为分布。</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12.教学行为专项分析：支持统计教师巡视情况并形成分析图，分析数据包括教师课堂巡视次数、时长、巡视区域时长占比等。同时支持各种课堂行为时序图，图中有时长统计，更直观呈现教学数据。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13.本地资源分析：允许用户自主上传本地课程录制资源视频，确定学科和名称后上传。上传完成后，系统自动分析资源并同步显示分析后的课堂数据。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14.课堂总览分析：对课堂教学过程进行智能切分，分析整个课堂的亮点、时间分配和容量。</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15.目标和重点分析：识别课堂教学的目标和重点，并分析各目标的完成时间点。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16.新课标分析：分析学科学段适应性，提供改进建议。</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17.教案符合度分析：分析教学过程与教案的匹配程度。</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区域教研支持</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多品牌录播视频分析：支持区域教研，不同品牌录播教室的视频均可进行自动AI分析。</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三、分析报告功能</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AI分析报告生成：可将AI分析后的课堂数据（包括基本信息、语速分析、课堂用词、S-T模型、Rt-ch模型、老师活动轨迹分析、学生活动轨迹分析、教学行为、老师提问类型统计、理答类型、课堂总结、点评统计等）导出为AI分析报告。支持通过手机端扫码观看，也可直接导出为Word文档。</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2.在保障课堂网络稳定的情况下，15分钟内，系统自动给出整个课堂的AI报告，课堂实录报告，教师提问报告、教师理答报告，所有报告都可一键导出。</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试题资源库</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1.新高考题库</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提供题库涵盖全新的主流教材版本，包括人教版、苏教版、北师版等，涵盖调整和新增200多个知识点，涵盖近三年多种类型考试试题。</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2.联考/模考题库</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支持学校提供联合考试和模拟考试试卷的校本作业试题资源库，包括历年的考试真题、模拟试题、联考真题等。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支持教师按照级别、年级、学期、年份和区域等进行试卷的筛选。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3.提供与教材知识点模块一致的试题包</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提供与教材同步的全面学习资源，所选试题须全面覆盖教学大纲要求，满足不同层次和类型学生的需求，帮助学生在学习过程中获得必要的指导和练习。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4.提供校内资源加工服务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支持实现校本作业资源的沉淀。</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支持基于专业的教研团队打造多维标签体系，入库的各类试题按照题型、知识点、难度、教材章节目录、解析等标注标签。</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支持标签化后加入到本校校本题库中，使学校的教学资源得到沉淀保存和分类管理。</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作业设计与布置</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1.支持教师作业排版编辑设置，满足多场景的作业设计需求；</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2.支持教师按照个人教学需求和教学计划，按照进度或者章节进行作业设计；</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3.支持系统根据学校学业水平实际情况，须提供默认题包、备选题包和更多推荐与多种选题模式，教师可根据作业内容进行灵活选择试题内容；</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系统资源支持分层级选择，以及根据不同水平学生可接受的试题难度，按照基础达标、能力提升和思维拓展对试题进行分层，教师可以对难度进行调控，并对不合适的试题支持老师自主调节，以适配各种作业场景，满足了不同层次学生的练习需求。</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作业数据采集</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1.支持学校原有的扫描仪进行作业数据的采集；</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2.作业扫描需不低于50张/分钟。</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全题型智能批改</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1.客观题批阅准确率不低于99%；</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2.填空题批阅准确率不低于99%；</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3.解答题批阅准确率不低于90%；</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4.批阅时长不高于5分钟/50份作业。</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作业数据分析</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1.包括提交成功率、提交人数、未提交人数；</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2.包括班级学生的答题情况，包括平均分、合格率、知识点得分率、班级高频错题等；</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3.提供作答统计及每道试题得分率，自动为教师生成作业报告，须支持分析学生作业完成情况及学习态度等信息；</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4.提供一键讲评功能，支持老师在课堂上通过大屏进行授课；</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5.提供学生原作答情况复现，支持老师在课堂上随时调取学生原作业情况；</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6.支持老师手机端查看作业作答情况与作业分析数据。</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作业数据学情数字化应用</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1.支持结合学校特定情况和学生学习情况而建立的校本学情库，可将历史的作业任务都会沉淀到“本校作业”，形成学校的校本作业资源库。作业错题沉淀在“校本学情”；</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2.支持教师实时查看到历次各章节、知识点学情数据，须支持教师导出错题滚动训练，进行阶段性补偿练习，选题组卷及薄弱知识点分析。</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智能采集终端</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1.光源：三色RGB(LED)；</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2.触控显示屏：显示屏≥7英寸；</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3.运行内存≥4GB，存储容量≥32GB；</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4.扫描图像分辨率：支持150dpi、200dpi、300dpi的图像输出；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5.接口：USB3.0及以上；</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6.扫描图像分辨率：支持150dpi、200dpi、300dpi的图像输出；</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7.接口：USB3.0及以上；</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8.纸张尺寸检测：支持自动纸张尺寸检测；</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9.ADF容量：≥100张70g/m2(20磅)纸张；</w:t>
            </w:r>
            <w:r/>
          </w:p>
          <w:p>
            <w:pPr>
              <w:jc w:val="left"/>
              <w:spacing w:line="264" w:lineRule="auto"/>
              <w:rPr>
                <w:rFonts w:hint="eastAsia" w:ascii="宋体" w:hAnsi="宋体" w:cs="宋体"/>
                <w:bCs/>
                <w:sz w:val="24"/>
                <w:szCs w:val="24"/>
              </w:rPr>
            </w:pPr>
            <w:r>
              <w:rPr>
                <w:rFonts w:hint="eastAsia" w:ascii="宋体" w:hAnsi="宋体" w:cs="宋体"/>
                <w:bCs/>
                <w:sz w:val="24"/>
                <w:szCs w:val="24"/>
              </w:rPr>
              <w:t xml:space="preserve">10.图像输出格式：支持彩色/黑白/灰度情况的单面和双面出图，输出文件格式为PDF、BMP、JPEG、TIFF等常用图像格式。</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电脑讲台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规格：1800×700×820mm；抽屉离地69mm；全部采用≥18mm厚AA级橡胶木实木机拼板，同色PVC封边带机器封边，消音三节抽轨，联通五金连接件组装。</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78</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学生电脑桌</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规格：1200×600×820mm；抽屉离地69mm，全部采用≥18mm厚AA级橡胶木实木机拼板，同色PVC封边带机器封边，联通五金连接件组装。</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79</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学生电脑椅</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规格：360×260×440mm；凳面采用≥18mm厚AA级橡胶木实木机拼板、圆角处理，同色PVC封边带机器封边；不低于25×25×1.0方管凳架、酸洗磷化喷塑处理。</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80</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24口交换机</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24个10/100/1000Base-T以太网口、4个独立千兆SFP光口；支持VSU虚拟化技术，简化网络管理；支持CPP/NFPP/RLDP/DHCPsnooping多重安全防护策略；支持DHCPsnooping。</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81</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2联操作台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2联工位，整体尺寸≥1200*900*750mm；E1级防火台面；底部独立机柜。</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82</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4联操作台</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4联工位，整体尺寸≥2400*900*750mm；E1级防火台面；底部独立机柜。</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83</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12U机柜</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规格：宽600深600高700mm。选用SPCC冷轧钢板制作；脱脂、酸洗、防锈磷化、纯水清洗、喷塑处理、外型美观；防护等级不低于IP20。</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84</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24U机柜</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规格：于宽600深600高1200mm。选用SPCC冷轧钢板制作；脱脂、酸洗、防锈磷化、纯水清洗、喷塑处理、外型美观；防护等级不低于IP20。</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85</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42U机柜</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规格：宽600深600高2000mm。选用SPCC冷轧钢板制作；脱脂、酸洗、防锈磷化、纯水清洗、喷塑处理、外型美观；防护等级不低于IP20。</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86</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综合布线</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六类网线、配线架、理线架、跳线、水晶头等。</w:t>
            </w:r>
            <w:r/>
          </w:p>
        </w:tc>
      </w:tr>
      <w:tr>
        <w:trPr>
          <w:jc w:val="center"/>
        </w:trPr>
        <w:tc>
          <w:tcPr>
            <w:tcW w:w="518"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87</w:t>
            </w:r>
            <w:r/>
          </w:p>
        </w:tc>
        <w:tc>
          <w:tcPr>
            <w:tcW w:w="879"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系统集成</w:t>
            </w:r>
            <w:r/>
          </w:p>
        </w:tc>
        <w:tc>
          <w:tcPr>
            <w:tcW w:w="7790"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多媒体设备系统连接、调试及所需音视频线材等。</w:t>
            </w:r>
            <w:r/>
          </w:p>
        </w:tc>
      </w:tr>
    </w:tbl>
    <w:p>
      <w:pPr>
        <w:ind w:firstLine="480"/>
        <w:spacing w:line="264" w:lineRule="auto"/>
        <w:rPr>
          <w:rFonts w:ascii="宋体" w:hAnsi="宋体" w:cs="宋体"/>
          <w:color w:val="0000ff"/>
          <w:sz w:val="24"/>
          <w:szCs w:val="24"/>
        </w:rPr>
      </w:pPr>
      <w:r>
        <w:rPr>
          <w:rFonts w:ascii="宋体" w:hAnsi="宋体" w:cs="宋体"/>
          <w:color w:val="0000ff"/>
          <w:sz w:val="24"/>
          <w:szCs w:val="24"/>
        </w:rPr>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质保（维保）及售后要求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①本项目质保期三年，费用包在投标总价中（自验收报告签字确认日起，开始进入质保期）；</w:t>
      </w:r>
      <w:r/>
    </w:p>
    <w:p>
      <w:pPr>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②本项目所投产品使用软件授权终身使用及升级，费用包含在投标总价中</w:t>
      </w:r>
      <w:r>
        <w:rPr>
          <w:rFonts w:hint="eastAsia" w:ascii="宋体" w:hAnsi="宋体" w:cs="宋体"/>
          <w:sz w:val="24"/>
          <w:szCs w:val="24"/>
          <w:lang w:eastAsia="zh-CN"/>
        </w:rPr>
        <w:t xml:space="preserve">；</w:t>
      </w:r>
      <w:r/>
    </w:p>
    <w:p>
      <w:pPr>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③供应商接到报修请求，2小时内响应，8小时内维修人员到达现场，质保期内故障报修24小时内无法及时修复的须提供备机</w:t>
      </w:r>
      <w:r>
        <w:rPr>
          <w:rFonts w:hint="eastAsia" w:ascii="宋体" w:hAnsi="宋体" w:cs="宋体"/>
          <w:sz w:val="24"/>
          <w:szCs w:val="24"/>
          <w:lang w:eastAsia="zh-CN"/>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④供应商在质保期内每学期结束前为学校进行整体维护一次，费用包含在投标总价中；</w:t>
      </w:r>
      <w:r/>
    </w:p>
    <w:p>
      <w:pPr>
        <w:ind w:firstLine="480"/>
        <w:spacing w:line="264" w:lineRule="auto"/>
        <w:rPr>
          <w:rFonts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lang w:val="zh-CN"/>
        </w:rPr>
        <w:t xml:space="preserve">质保期后，供应商提供终生服务，保证零配件的供给。</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③验收的相关数据及中标产品信息，供应商应及时填入网络管理平台。</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（3）培训</w:t>
      </w:r>
      <w:r>
        <w:rPr>
          <w:rFonts w:hint="eastAsia" w:ascii="宋体" w:hAnsi="宋体" w:cs="宋体"/>
          <w:sz w:val="24"/>
          <w:szCs w:val="24"/>
          <w:lang w:eastAsia="zh-CN"/>
        </w:rPr>
        <w:t xml:space="preserve">要求</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①供应商对使用单位采购设备的使用和维护提供培训，培训的内容包括设备和软件的安装、使用以及软硬件基本维护知识。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②供应商签订合同时制定全面培训计划，要求分为使用培训、教学应用培训，方案中需提供具体培训安排、内容、讲义、考核计划等。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③供应商须提供培训讲义，培训学校管理人员不少于2人。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（4）平台监管要求：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④供应商须对所有进入固定资产的设备，按南京市的统一要求，通过“南京市教育装备项目管理平台”（南京市教育装备项目管理平台网址ttp://nj.cneefix.com）制作二维码标签，并张贴到设备上。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⑤供应商须通过“南京市教育装备项目管理平台”提供售后维护维保服务。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（5）安全要求：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ascii="宋体" w:hAnsi="宋体" w:cs="宋体"/>
          <w:bCs/>
          <w:sz w:val="24"/>
          <w:szCs w:val="24"/>
        </w:rPr>
      </w:pPr>
      <w:r>
        <w:rPr>
          <w:rFonts w:hint="eastAsia" w:ascii="宋体" w:hAnsi="宋体" w:cs="宋体"/>
          <w:bCs/>
          <w:sz w:val="24"/>
          <w:szCs w:val="24"/>
        </w:rPr>
        <w:t xml:space="preserve">（6）人员要求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本项目实施团队人员不少于4人</w:t>
      </w:r>
      <w:r>
        <w:rPr>
          <w:rFonts w:hint="eastAsia" w:ascii="宋体" w:hAnsi="宋体" w:cs="宋体"/>
          <w:bCs/>
          <w:sz w:val="24"/>
          <w:szCs w:val="24"/>
          <w:lang w:eastAsia="zh-CN"/>
        </w:rPr>
        <w:t xml:space="preserve">（含项目负责人</w:t>
      </w:r>
      <w:r>
        <w:rPr>
          <w:rFonts w:hint="eastAsia" w:ascii="宋体" w:hAnsi="宋体" w:cs="宋体"/>
          <w:bCs/>
          <w:sz w:val="24"/>
          <w:szCs w:val="24"/>
          <w:lang w:val="en-US" w:eastAsia="zh-CN"/>
        </w:rPr>
        <w:t xml:space="preserve">1名</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60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5.其他要求</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bCs/>
          <w:sz w:val="24"/>
          <w:szCs w:val="24"/>
          <w:lang w:eastAsia="zh-CN"/>
        </w:rPr>
        <w:t xml:space="preserve">视频</w:t>
      </w:r>
      <w:r>
        <w:rPr>
          <w:rFonts w:hint="eastAsia" w:ascii="宋体" w:hAnsi="宋体" w:cs="宋体"/>
          <w:sz w:val="24"/>
          <w:szCs w:val="24"/>
        </w:rPr>
        <w:t xml:space="preserve">演示要求</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所有文件合计不得大于300M）。文件上传方式见《操作手册》，上传的演示视频将作为投标文件的组成部分。视频时长总计不超过20分钟。</w:t>
      </w:r>
      <w:r/>
    </w:p>
    <w:p>
      <w:pPr>
        <w:ind w:firstLine="480"/>
        <w:spacing w:line="288" w:lineRule="auto"/>
        <w:rPr>
          <w:rFonts w:hint="eastAsia" w:ascii="宋体" w:hAnsi="宋体"/>
          <w:sz w:val="24"/>
          <w:szCs w:val="24"/>
        </w:rPr>
      </w:pPr>
      <w:r>
        <w:rPr>
          <w:rFonts w:hint="eastAsia" w:ascii="宋体" w:hAnsi="宋体"/>
          <w:sz w:val="24"/>
          <w:szCs w:val="24"/>
        </w:rPr>
        <w:t xml:space="preserve">2.演示内容详见“第五章  评标方法与评标标准”。</w:t>
      </w:r>
      <w:r/>
    </w:p>
    <w:p>
      <w:pPr>
        <w:pStyle w:val="888"/>
        <w:rPr>
          <w:rFonts w:hint="eastAsia"/>
        </w:rPr>
      </w:pPr>
      <w:r>
        <w:rPr>
          <w:rFonts w:hint="eastAsia"/>
        </w:rPr>
      </w:r>
      <w:r/>
    </w:p>
    <w:p>
      <w:pPr>
        <w:rPr>
          <w:rFonts w:hint="eastAsia" w:ascii="宋体" w:hAnsi="宋体" w:cs="宋体"/>
          <w:sz w:val="24"/>
          <w:szCs w:val="24"/>
        </w:rPr>
      </w:pPr>
      <w:r>
        <w:rPr>
          <w:rFonts w:hint="eastAsia" w:ascii="宋体" w:hAnsi="宋体" w:cs="宋体"/>
          <w:sz w:val="24"/>
          <w:szCs w:val="24"/>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hint="eastAsia"/>
        </w:rPr>
      </w:pPr>
      <w:r>
        <w:rPr>
          <w:rFonts w:hint="eastAsia" w:ascii="黑体" w:hAnsi="黑体" w:eastAsia="黑体" w:cs="黑体"/>
          <w:sz w:val="24"/>
          <w:szCs w:val="24"/>
        </w:rPr>
        <w:t xml:space="preserve">三、评标标准</w:t>
      </w:r>
      <w:r/>
    </w:p>
    <w:tbl>
      <w:tblPr>
        <w:tblStyle w:val="69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产品技术参数全部满足招标要求的得满分，打★指标为必须满足项，如有负偏离将作为无效投标，打▲指标为重要指标，有1项负偏离扣2分，其余指标有1项负偏离扣1分，扣完为止。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lang w:eastAsia="zh-CN"/>
              </w:rPr>
            </w:pPr>
            <w:r>
              <w:rPr>
                <w:rFonts w:hint="eastAsia" w:ascii="宋体" w:hAnsi="宋体" w:cs="宋体"/>
              </w:rPr>
              <w:t xml:space="preserve">2</w:t>
            </w:r>
            <w:r>
              <w:rPr>
                <w:rFonts w:hint="eastAsia" w:ascii="宋体" w:hAnsi="宋体" w:cs="宋体"/>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6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lang w:eastAsia="zh-CN"/>
              </w:rPr>
            </w:pPr>
            <w:r>
              <w:rPr>
                <w:rFonts w:hint="eastAsia" w:ascii="宋体" w:hAnsi="宋体" w:cs="宋体"/>
                <w:spacing w:val="-2"/>
              </w:rPr>
              <w:t xml:space="preserve">2.</w:t>
            </w:r>
            <w:r>
              <w:rPr>
                <w:rFonts w:hint="eastAsia" w:ascii="宋体" w:hAnsi="宋体" w:cs="宋体"/>
                <w:spacing w:val="-2"/>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投标人提供2022年1月1日（以报告签发日期为准）以来，具有CMA标识的所投以下产品检测报告，检测内容如下：</w:t>
            </w:r>
            <w:r/>
          </w:p>
          <w:p>
            <w:pPr>
              <w:jc w:val="left"/>
              <w:spacing w:line="264" w:lineRule="auto"/>
              <w:rPr>
                <w:rFonts w:hint="eastAsia" w:ascii="宋体" w:hAnsi="宋体" w:cs="宋体"/>
                <w:color w:val="000000" w:themeColor="text1"/>
              </w:rPr>
            </w:pPr>
            <w:r>
              <w:rPr>
                <w:rFonts w:hint="eastAsia" w:ascii="宋体" w:hAnsi="宋体" w:cs="宋体"/>
              </w:rPr>
              <w:t xml:space="preserve">1.所投“常态录</w:t>
            </w:r>
            <w:r>
              <w:rPr>
                <w:rFonts w:hint="eastAsia" w:ascii="宋体" w:hAnsi="宋体" w:cs="宋体"/>
                <w:color w:val="000000" w:themeColor="text1"/>
              </w:rPr>
              <w:t xml:space="preserve">播主机”（产品清单1）：</w:t>
            </w:r>
            <w:r>
              <w:rPr>
                <w:color w:val="000000" w:themeColor="text1"/>
              </w:rPr>
            </w:r>
          </w:p>
          <w:p>
            <w:pPr>
              <w:ind w:left="0" w:right="0" w:firstLine="0"/>
              <w:spacing w:before="0" w:after="0" w:line="62" w:lineRule="atLeast"/>
              <w:rPr>
                <w:rFonts w:ascii="SimSun" w:hAnsi="SimSun" w:eastAsia="SimSun" w:cs="SimSun"/>
                <w:color w:val="000000" w:themeColor="text1"/>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录播主机满足每条通道能够选择录制，单通道录制、多通道同时录制，能调节输入，输出音量；直播数量：≥80个点，直播码流：2Mbps-8Mbps可调，无需下</w:t>
            </w:r>
            <w:r>
              <w:rPr>
                <w:rFonts w:ascii="SimSun" w:hAnsi="SimSun" w:eastAsia="SimSun" w:cs="SimSun"/>
                <w:color w:val="000000" w:themeColor="text1"/>
                <w:sz w:val="22"/>
              </w:rPr>
              <w:t xml:space="preserve">载任何插件及播放器，通过IE浏览器就能实现直播观看；满足</w:t>
            </w:r>
            <w:r>
              <w:rPr>
                <w:rFonts w:ascii="SimSun" w:hAnsi="SimSun" w:eastAsia="SimSun" w:cs="SimSun"/>
                <w:color w:val="000000" w:themeColor="text1"/>
                <w:sz w:val="22"/>
                <w:szCs w:val="22"/>
              </w:rPr>
              <w:t xml:space="preserve">全部要求得1分；</w:t>
            </w:r>
            <w:r>
              <w:rPr>
                <w:rFonts w:ascii="SimSun" w:hAnsi="SimSun" w:eastAsia="SimSun" w:cs="SimSun"/>
                <w:color w:val="000000" w:themeColor="text1"/>
                <w:sz w:val="22"/>
                <w:szCs w:val="22"/>
              </w:rPr>
            </w:r>
          </w:p>
          <w:p>
            <w:pPr>
              <w:ind w:left="0" w:right="0" w:firstLine="0"/>
              <w:spacing w:before="0" w:after="0" w:line="62" w:lineRule="atLeast"/>
              <w:rPr>
                <w:rFonts w:ascii="SimSun" w:hAnsi="SimSun" w:eastAsia="SimSun" w:cs="SimSun"/>
                <w:color w:val="000000" w:themeColor="text1"/>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szCs w:val="22"/>
              </w:rPr>
              <w:t xml:space="preserve">2.所投“精品录播主机”（产品清单4）：</w:t>
            </w:r>
            <w:r>
              <w:rPr>
                <w:rFonts w:ascii="SimSun" w:hAnsi="SimSun" w:eastAsia="SimSun" w:cs="SimSun"/>
                <w:color w:val="000000" w:themeColor="text1"/>
                <w:sz w:val="22"/>
                <w:szCs w:val="22"/>
              </w:rPr>
            </w:r>
          </w:p>
          <w:p>
            <w:pPr>
              <w:ind w:left="0" w:right="0" w:firstLine="0"/>
              <w:spacing w:before="0" w:after="0" w:line="62" w:lineRule="atLeast"/>
              <w:rPr>
                <w:rFonts w:ascii="SimSun" w:hAnsi="SimSun" w:eastAsia="SimSun" w:cs="SimSun"/>
                <w:color w:val="000000" w:themeColor="text1"/>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szCs w:val="22"/>
              </w:rPr>
              <w:t xml:space="preserve">录播主机具备录制、导播、直播、互动等功能，支持远程互动教学；满足全部要求得1分；</w:t>
            </w:r>
            <w:r>
              <w:rPr>
                <w:rFonts w:ascii="SimSun" w:hAnsi="SimSun" w:eastAsia="SimSun" w:cs="SimSun"/>
                <w:color w:val="000000" w:themeColor="text1"/>
                <w:sz w:val="22"/>
                <w:szCs w:val="22"/>
              </w:rPr>
            </w:r>
          </w:p>
          <w:p>
            <w:pPr>
              <w:ind w:left="0" w:right="0" w:firstLine="0"/>
              <w:spacing w:before="0" w:after="0" w:line="62" w:lineRule="atLeast"/>
              <w:rPr>
                <w:rFonts w:ascii="SimSun" w:hAnsi="SimSun" w:eastAsia="SimSun" w:cs="SimSun"/>
                <w:color w:val="000000" w:themeColor="text1"/>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szCs w:val="22"/>
              </w:rPr>
              <w:t xml:space="preserve">3.所投“无线麦克风2”（产品清单29）：</w:t>
            </w:r>
            <w:r>
              <w:rPr>
                <w:rFonts w:ascii="SimSun" w:hAnsi="SimSun" w:eastAsia="SimSun" w:cs="SimSun"/>
                <w:color w:val="000000" w:themeColor="text1"/>
                <w:sz w:val="22"/>
                <w:szCs w:val="22"/>
              </w:rPr>
            </w:r>
          </w:p>
          <w:p>
            <w:pPr>
              <w:ind w:left="0" w:right="0" w:firstLine="0"/>
              <w:spacing w:before="0" w:after="0" w:line="62" w:lineRule="atLeast"/>
              <w:rPr>
                <w:rFonts w:ascii="SimSun" w:hAnsi="SimSun" w:eastAsia="SimSun" w:cs="SimSun"/>
                <w:color w:val="000000" w:themeColor="text1"/>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szCs w:val="22"/>
              </w:rPr>
              <w:t xml:space="preserve">充电方式：支持直插式桌面充电器充电，满足要求得1分；</w:t>
            </w:r>
            <w:r>
              <w:rPr>
                <w:rFonts w:ascii="SimSun" w:hAnsi="SimSun" w:eastAsia="SimSun" w:cs="SimSun"/>
                <w:color w:val="000000" w:themeColor="text1"/>
                <w:sz w:val="22"/>
                <w:szCs w:val="22"/>
              </w:rPr>
            </w:r>
          </w:p>
          <w:p>
            <w:pPr>
              <w:ind w:left="0" w:right="0" w:firstLine="0"/>
              <w:spacing w:before="0" w:after="0" w:line="62" w:lineRule="atLeast"/>
              <w:rPr>
                <w:rFonts w:ascii="SimSun" w:hAnsi="SimSun" w:eastAsia="SimSun" w:cs="SimSun"/>
                <w:color w:val="000000" w:themeColor="text1"/>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szCs w:val="22"/>
              </w:rPr>
              <w:t xml:space="preserve">4.所投“麦克风底座”（产品清单30）：</w:t>
            </w:r>
            <w:r>
              <w:rPr>
                <w:rFonts w:ascii="SimSun" w:hAnsi="SimSun" w:eastAsia="SimSun" w:cs="SimSun"/>
                <w:color w:val="000000" w:themeColor="text1"/>
                <w:sz w:val="22"/>
                <w:szCs w:val="22"/>
              </w:rPr>
            </w:r>
          </w:p>
          <w:p>
            <w:pPr>
              <w:ind w:left="0" w:right="0" w:firstLine="0"/>
              <w:spacing w:before="0" w:after="0" w:line="62" w:lineRule="atLeast"/>
              <w:rPr>
                <w:rFonts w:ascii="SimSun" w:hAnsi="SimSun" w:eastAsia="SimSun" w:cs="SimSun"/>
                <w:color w:val="000000" w:themeColor="text1"/>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szCs w:val="22"/>
              </w:rPr>
              <w:t xml:space="preserve">要求充电底座采用一体化设计，无线话筒插入充电座即可自动完成配对，满足全部要求得1分；</w:t>
            </w:r>
            <w:r>
              <w:rPr>
                <w:rFonts w:ascii="SimSun" w:hAnsi="SimSun" w:eastAsia="SimSun" w:cs="SimSun"/>
                <w:color w:val="000000" w:themeColor="text1"/>
                <w:sz w:val="22"/>
                <w:szCs w:val="22"/>
              </w:rPr>
            </w:r>
            <w:r>
              <w:rPr>
                <w:rFonts w:ascii="SimSun" w:hAnsi="SimSun" w:eastAsia="SimSun" w:cs="SimSun"/>
                <w:color w:val="000000" w:themeColor="text1"/>
                <w:sz w:val="22"/>
                <w:szCs w:val="22"/>
              </w:rPr>
            </w:r>
          </w:p>
          <w:p>
            <w:pPr>
              <w:ind w:left="0" w:right="0" w:firstLine="0"/>
              <w:spacing w:before="0" w:after="0" w:line="62"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szCs w:val="22"/>
              </w:rPr>
              <w:t xml:space="preserve">备注</w:t>
            </w:r>
            <w:r>
              <w:rPr>
                <w:rFonts w:ascii="SimSun" w:hAnsi="SimSun" w:eastAsia="SimSun" w:cs="SimSun"/>
                <w:color w:val="000000" w:themeColor="text1"/>
                <w:sz w:val="22"/>
                <w:szCs w:val="22"/>
              </w:rPr>
              <w:t xml:space="preserve">：所提供检测报告</w:t>
            </w:r>
            <w:r>
              <w:rPr>
                <w:rFonts w:ascii="SimSun" w:hAnsi="SimSun" w:eastAsia="SimSun" w:cs="SimSun"/>
                <w:color w:val="000000" w:themeColor="text1"/>
                <w:sz w:val="22"/>
                <w:szCs w:val="22"/>
              </w:rPr>
              <w:t xml:space="preserve">中</w:t>
            </w:r>
            <w:r>
              <w:rPr>
                <w:rFonts w:ascii="SimSun" w:hAnsi="SimSun" w:eastAsia="SimSun" w:cs="SimSun"/>
                <w:color w:val="000000" w:themeColor="text1"/>
                <w:sz w:val="22"/>
                <w:szCs w:val="22"/>
              </w:rPr>
              <w:t xml:space="preserve">“</w:t>
            </w:r>
            <w:r>
              <w:rPr>
                <w:rFonts w:ascii="SimSun" w:hAnsi="SimSun" w:eastAsia="SimSun" w:cs="SimSun"/>
                <w:color w:val="000000" w:themeColor="text1"/>
                <w:sz w:val="22"/>
                <w:szCs w:val="22"/>
              </w:rPr>
              <w:t xml:space="preserve">产品名称</w:t>
            </w:r>
            <w:r>
              <w:rPr>
                <w:rFonts w:ascii="SimSun" w:hAnsi="SimSun" w:eastAsia="SimSun" w:cs="SimSun"/>
                <w:color w:val="000000" w:themeColor="text1"/>
                <w:sz w:val="22"/>
                <w:szCs w:val="22"/>
              </w:rPr>
              <w:t xml:space="preserve">和</w:t>
            </w:r>
            <w:r>
              <w:rPr>
                <w:rFonts w:ascii="SimSun" w:hAnsi="SimSun" w:eastAsia="SimSun" w:cs="SimSun"/>
                <w:color w:val="000000" w:themeColor="text1"/>
                <w:sz w:val="22"/>
                <w:szCs w:val="22"/>
              </w:rPr>
              <w:t xml:space="preserve">检测内容”与</w:t>
            </w:r>
            <w:r>
              <w:rPr>
                <w:rFonts w:ascii="SimSun" w:hAnsi="SimSun" w:eastAsia="SimSun" w:cs="SimSun"/>
                <w:color w:val="000000" w:themeColor="text1"/>
                <w:sz w:val="22"/>
                <w:szCs w:val="22"/>
              </w:rPr>
              <w:t xml:space="preserve">评分细则规定</w:t>
            </w:r>
            <w:r>
              <w:rPr>
                <w:rFonts w:ascii="SimSun" w:hAnsi="SimSun" w:eastAsia="SimSun" w:cs="SimSun"/>
                <w:color w:val="000000" w:themeColor="text1"/>
                <w:sz w:val="22"/>
                <w:szCs w:val="22"/>
              </w:rPr>
              <w:t xml:space="preserve">不同时，应提供符合上述要求的内容（功能）说明及关键信息，否则不予认可。为方便评委评审，功能参数可用箭头、</w:t>
            </w:r>
            <w:r>
              <w:rPr>
                <w:rFonts w:ascii="宋体" w:hAnsi="宋体" w:cs="宋体"/>
              </w:rPr>
              <w:t xml:space="preserve">标红或下划线等进行明显标注。</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lang w:eastAsia="zh-CN"/>
              </w:rPr>
            </w:pPr>
            <w:r>
              <w:rPr>
                <w:rFonts w:hint="eastAsia" w:ascii="宋体" w:hAnsi="宋体" w:cs="宋体"/>
                <w:spacing w:val="-2"/>
              </w:rPr>
              <w:t xml:space="preserve">2.</w:t>
            </w:r>
            <w:r>
              <w:rPr>
                <w:rFonts w:hint="eastAsia" w:ascii="宋体" w:hAnsi="宋体" w:cs="宋体"/>
                <w:spacing w:val="-2"/>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lang w:val="zh-CN"/>
              </w:rPr>
            </w:pPr>
            <w:r>
              <w:rPr>
                <w:rFonts w:hint="eastAsia" w:ascii="宋体" w:hAnsi="宋体" w:cs="宋体"/>
              </w:rPr>
              <w:t xml:space="preserve">评委根据投标人</w:t>
            </w:r>
            <w:r>
              <w:rPr>
                <w:rFonts w:hint="eastAsia" w:ascii="宋体" w:hAnsi="宋体" w:cs="宋体"/>
                <w:lang w:val="zh-CN"/>
              </w:rPr>
              <w:t xml:space="preserve">提供</w:t>
            </w:r>
            <w:r>
              <w:rPr>
                <w:rFonts w:hint="eastAsia" w:ascii="宋体" w:hAnsi="宋体" w:cs="宋体"/>
              </w:rPr>
              <w:t xml:space="preserve">的以下产品视频演示情况综合评分（每位投标人演示视频时间不超过</w:t>
            </w:r>
            <w:r>
              <w:rPr>
                <w:rFonts w:hint="eastAsia" w:ascii="宋体" w:hAnsi="宋体" w:cs="宋体"/>
                <w:lang w:val="en-US" w:eastAsia="zh-CN"/>
              </w:rPr>
              <w:t xml:space="preserve">1</w:t>
            </w:r>
            <w:r>
              <w:rPr>
                <w:rFonts w:hint="eastAsia" w:ascii="宋体" w:hAnsi="宋体" w:cs="宋体"/>
              </w:rPr>
              <w:t xml:space="preserve">0分钟）：</w:t>
            </w:r>
            <w:r/>
          </w:p>
          <w:p>
            <w:pPr>
              <w:jc w:val="left"/>
              <w:spacing w:line="264" w:lineRule="auto"/>
              <w:rPr>
                <w:rFonts w:hint="eastAsia" w:ascii="宋体" w:hAnsi="宋体" w:cs="宋体"/>
              </w:rPr>
            </w:pPr>
            <w:r>
              <w:rPr>
                <w:rFonts w:hint="eastAsia" w:ascii="宋体" w:hAnsi="宋体" w:cs="宋体"/>
              </w:rPr>
              <w:t xml:space="preserve">AI大数据分析模块（清单序号69）：</w:t>
            </w:r>
            <w:r/>
          </w:p>
          <w:p>
            <w:pPr>
              <w:jc w:val="left"/>
              <w:spacing w:line="264" w:lineRule="auto"/>
              <w:rPr>
                <w:rFonts w:hint="eastAsia" w:ascii="宋体" w:hAnsi="宋体" w:cs="宋体"/>
              </w:rPr>
            </w:pPr>
            <w:r>
              <w:rPr>
                <w:rFonts w:hint="eastAsia" w:ascii="宋体" w:hAnsi="宋体" w:cs="宋体"/>
              </w:rPr>
              <w:t xml:space="preserve">1.</w:t>
            </w:r>
            <w:r>
              <w:rPr>
                <w:rFonts w:hint="eastAsia" w:ascii="宋体" w:hAnsi="宋体" w:cs="宋体"/>
                <w:szCs w:val="21"/>
                <w:lang w:bidi="ar"/>
              </w:rPr>
              <w:t xml:space="preserve">教师行为分析包括教师讲授、教师巡视、师生互动、指导学生、教师提问、板书等维度，统计出时间及占比，以时间轴打点的形式展示教师各项行为</w:t>
            </w:r>
            <w:r>
              <w:rPr>
                <w:rFonts w:hint="eastAsia" w:ascii="宋体" w:hAnsi="宋体" w:cs="宋体"/>
              </w:rPr>
              <w:t xml:space="preserve">。</w:t>
            </w:r>
            <w:r/>
          </w:p>
          <w:p>
            <w:pPr>
              <w:jc w:val="left"/>
              <w:spacing w:line="264" w:lineRule="auto"/>
              <w:rPr>
                <w:rFonts w:hint="eastAsia" w:ascii="宋体" w:hAnsi="宋体" w:cs="宋体"/>
              </w:rPr>
            </w:pPr>
            <w:r>
              <w:rPr>
                <w:rFonts w:hint="eastAsia" w:ascii="宋体" w:hAnsi="宋体" w:cs="宋体"/>
              </w:rPr>
              <w:t xml:space="preserve">2.</w:t>
            </w:r>
            <w:r>
              <w:rPr>
                <w:rFonts w:hint="eastAsia" w:ascii="宋体" w:hAnsi="宋体" w:cs="宋体"/>
                <w:szCs w:val="21"/>
                <w:lang w:bidi="ar"/>
              </w:rPr>
              <w:t xml:space="preserve">Rt-Ch课堂模式图支持通过Rt（练习比例）和Ch（对话比例）来划分课堂行为类型，包括练习型、讲授型、对话型以及混合型，分析出课堂行为（含学生练习、教师讲授、师生互动为主等多种行为）</w:t>
            </w:r>
            <w:r>
              <w:rPr>
                <w:rFonts w:hint="eastAsia" w:ascii="宋体" w:hAnsi="宋体" w:cs="宋体"/>
              </w:rPr>
              <w:t xml:space="preserve">。</w:t>
            </w:r>
            <w:r/>
          </w:p>
          <w:p>
            <w:pPr>
              <w:jc w:val="left"/>
              <w:spacing w:line="264" w:lineRule="auto"/>
              <w:rPr>
                <w:rFonts w:hint="eastAsia" w:ascii="宋体" w:hAnsi="宋体" w:cs="宋体"/>
              </w:rPr>
            </w:pPr>
            <w:r>
              <w:rPr>
                <w:rFonts w:hint="eastAsia" w:ascii="宋体" w:hAnsi="宋体" w:cs="宋体"/>
              </w:rPr>
              <w:t xml:space="preserve">3.</w:t>
            </w:r>
            <w:r>
              <w:rPr>
                <w:rFonts w:hint="eastAsia" w:ascii="宋体" w:hAnsi="宋体" w:cs="宋体"/>
                <w:szCs w:val="21"/>
                <w:lang w:bidi="ar"/>
              </w:rPr>
              <w:t xml:space="preserve">语音转写：将课堂中的语音内容转写成文字，便于查看和分析，并支持在线编辑及下载</w:t>
            </w:r>
            <w:r>
              <w:rPr>
                <w:rFonts w:hint="eastAsia" w:ascii="宋体" w:hAnsi="宋体" w:cs="宋体"/>
              </w:rPr>
              <w:t xml:space="preserve">。</w:t>
            </w:r>
            <w:r/>
          </w:p>
          <w:p>
            <w:pPr>
              <w:jc w:val="left"/>
              <w:spacing w:line="264" w:lineRule="auto"/>
              <w:rPr>
                <w:rFonts w:hint="eastAsia" w:ascii="宋体" w:hAnsi="宋体" w:cs="宋体"/>
                <w:color w:val="000000" w:themeColor="text1"/>
              </w:rPr>
            </w:pPr>
            <w:r>
              <w:rPr>
                <w:rFonts w:hint="eastAsia" w:ascii="宋体" w:hAnsi="宋体" w:cs="宋体"/>
              </w:rPr>
              <w:t xml:space="preserve">4.</w:t>
            </w:r>
            <w:r>
              <w:rPr>
                <w:rFonts w:hint="eastAsia" w:ascii="宋体" w:hAnsi="宋体" w:cs="宋体"/>
                <w:szCs w:val="21"/>
                <w:lang w:bidi="ar"/>
              </w:rPr>
              <w:t xml:space="preserve">学生行为分析包括听讲、举手、读写、学生汇报、生生汇报等维度，统计出时</w:t>
            </w:r>
            <w:r>
              <w:rPr>
                <w:rFonts w:hint="eastAsia" w:ascii="宋体" w:hAnsi="宋体" w:cs="宋体"/>
                <w:color w:val="000000" w:themeColor="text1"/>
                <w:szCs w:val="21"/>
                <w:lang w:bidi="ar"/>
              </w:rPr>
              <w:t xml:space="preserve">间及占比，以时间轴打点的形式展示学生各项行为</w:t>
            </w:r>
            <w:r>
              <w:rPr>
                <w:rFonts w:hint="eastAsia" w:ascii="宋体" w:hAnsi="宋体" w:cs="宋体"/>
                <w:color w:val="000000" w:themeColor="text1"/>
              </w:rPr>
              <w:t xml:space="preserve">。</w:t>
            </w:r>
            <w:r>
              <w:rPr>
                <w:color w:val="000000" w:themeColor="text1"/>
              </w:rPr>
            </w:r>
          </w:p>
          <w:p>
            <w:pPr>
              <w:ind w:left="0" w:right="0" w:firstLine="0"/>
              <w:spacing w:before="0" w:after="0" w:line="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可自定义AI评课量表及每个评分项的分值、评分规则，系统自动对上课数据按量表进行打分，给出评分报告；对每个评分项详细给出评分理由，具体的课堂内容，优点，不足。每个学科组可按学科、学段、有生课、无生课等进行设置</w:t>
            </w:r>
            <w:r>
              <w:rPr>
                <w:rFonts w:ascii="Times New Roman" w:hAnsi="Times New Roman" w:eastAsia="Times New Roman" w:cs="Times New Roman"/>
                <w:color w:val="000000" w:themeColor="text1"/>
                <w:sz w:val="22"/>
              </w:rPr>
              <w:t xml:space="preserve">AI</w:t>
            </w:r>
            <w:r>
              <w:rPr>
                <w:rFonts w:ascii="SimSun" w:hAnsi="SimSun" w:eastAsia="SimSun" w:cs="SimSun"/>
                <w:color w:val="000000" w:themeColor="text1"/>
                <w:sz w:val="22"/>
              </w:rPr>
              <w:t xml:space="preserve">评价量表；AI巡课，可自定义检测维度，如“教室无人”、“上课迟到”、“教师早退”、“未按课表上课”等维度，可按课表或者时间段、教师维度定义巡课计划，巡课异常自动报警。教师空间提供巡课记录，异常申述，管理员审核功能；支持使用提示词自动生成教学设计，生成文档可自动放入个人空间，可邀请相关人员对生成文档进行集体讨论、在线编辑、版本管理，讨论完成后的内容可发布到社区空间，审核后可放入资源模块。</w:t>
            </w:r>
            <w:r>
              <w:rPr>
                <w:color w:val="000000" w:themeColor="text1"/>
              </w:rPr>
            </w:r>
          </w:p>
          <w:p>
            <w:pPr>
              <w:jc w:val="left"/>
              <w:spacing w:line="264" w:lineRule="auto"/>
              <w:rPr>
                <w:rFonts w:hint="eastAsia" w:ascii="宋体" w:hAnsi="宋体" w:cs="宋体"/>
              </w:rPr>
            </w:pPr>
            <w:r>
              <w:rPr>
                <w:rFonts w:hint="eastAsia" w:ascii="宋体" w:hAnsi="宋体" w:cs="宋体"/>
              </w:rPr>
              <w:t xml:space="preserve">6.AI助手：</w:t>
            </w:r>
            <w:r>
              <w:rPr>
                <w:rFonts w:hint="eastAsia" w:ascii="宋体" w:hAnsi="宋体" w:cs="宋体"/>
                <w:szCs w:val="21"/>
                <w:lang w:bidi="ar"/>
              </w:rPr>
              <w:t xml:space="preserve">利用AI大模型，根据对应课程教材、资料及音视频资源，正确无误的解答问题，并形成相应学习关联</w:t>
            </w:r>
            <w:r>
              <w:rPr>
                <w:rFonts w:hint="eastAsia" w:ascii="宋体" w:hAnsi="宋体" w:cs="宋体"/>
              </w:rPr>
              <w:t xml:space="preserve">。</w:t>
            </w:r>
            <w:r/>
          </w:p>
          <w:p>
            <w:pPr>
              <w:jc w:val="left"/>
              <w:spacing w:line="264" w:lineRule="auto"/>
              <w:rPr>
                <w:rFonts w:hint="eastAsia" w:ascii="宋体" w:hAnsi="宋体" w:cs="宋体"/>
              </w:rPr>
            </w:pPr>
            <w:r>
              <w:rPr>
                <w:rFonts w:hint="eastAsia" w:ascii="宋体" w:hAnsi="宋体" w:cs="宋体"/>
              </w:rPr>
              <w:t xml:space="preserve">以上各项，每成功演示该项全部内容</w:t>
            </w:r>
            <w:r>
              <w:rPr>
                <w:rFonts w:hint="eastAsia" w:ascii="宋体" w:hAnsi="宋体" w:cs="宋体"/>
                <w:lang w:eastAsia="zh-CN"/>
              </w:rPr>
              <w:t xml:space="preserve">的</w:t>
            </w:r>
            <w:r>
              <w:rPr>
                <w:rFonts w:hint="eastAsia" w:ascii="宋体" w:hAnsi="宋体" w:cs="宋体"/>
              </w:rPr>
              <w:t xml:space="preserve">得1分。</w:t>
            </w:r>
            <w:r/>
          </w:p>
          <w:p>
            <w:pPr>
              <w:jc w:val="left"/>
              <w:spacing w:line="264" w:lineRule="auto"/>
              <w:rPr>
                <w:rFonts w:hint="eastAsia" w:ascii="宋体" w:hAnsi="宋体" w:cs="宋体"/>
              </w:rPr>
            </w:pPr>
            <w:r>
              <w:rPr>
                <w:rFonts w:hint="eastAsia" w:ascii="宋体" w:hAnsi="宋体" w:cs="宋体"/>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rPr>
            </w:pPr>
            <w:r/>
            <w:bookmarkStart w:id="192" w:name="OLE_LINK8"/>
            <w:r>
              <w:rPr>
                <w:rFonts w:ascii="宋体" w:hAnsi="宋体" w:cs="宋体"/>
                <w:spacing w:val="-2"/>
              </w:rPr>
              <w:t xml:space="preserve">实施方案</w:t>
            </w:r>
            <w:bookmarkEnd w:id="192"/>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rPr>
            </w:pPr>
            <w:r>
              <w:rPr>
                <w:rFonts w:ascii="宋体" w:hAnsi="宋体" w:cs="宋体"/>
                <w:lang w:val="zh-CN"/>
              </w:rPr>
              <w:t xml:space="preserve">评委根据投标人提供的项目实施方案</w:t>
            </w:r>
            <w:r>
              <w:rPr>
                <w:rFonts w:hint="eastAsia" w:ascii="宋体" w:hAnsi="宋体" w:cs="宋体"/>
              </w:rPr>
              <w:t xml:space="preserve">综合评分</w:t>
            </w:r>
            <w:r>
              <w:rPr>
                <w:rFonts w:hint="eastAsia"/>
              </w:rPr>
              <w:t xml:space="preserve">（每项内容逐条阐述）：</w:t>
            </w:r>
            <w:r/>
          </w:p>
          <w:p>
            <w:pPr>
              <w:pStyle w:val="994"/>
              <w:rPr>
                <w:sz w:val="21"/>
                <w:lang w:bidi="ar-SA"/>
              </w:rPr>
            </w:pPr>
            <w:r>
              <w:rPr>
                <w:rFonts w:hint="eastAsia" w:ascii="Times New Roman" w:hAnsi="Times New Roman" w:cs="Times New Roman"/>
                <w:lang w:val="en-US"/>
              </w:rPr>
              <w:t xml:space="preserve">包括</w:t>
            </w:r>
            <w:bookmarkStart w:id="193" w:name="OLE_LINK7"/>
            <w:r>
              <w:rPr>
                <w:rFonts w:hint="eastAsia"/>
                <w:sz w:val="21"/>
                <w:lang w:val="en-US" w:bidi="ar-SA"/>
              </w:rPr>
              <w:t xml:space="preserve">1</w:t>
            </w:r>
            <w:r>
              <w:rPr>
                <w:rFonts w:hint="eastAsia"/>
                <w:sz w:val="21"/>
                <w:lang w:val="en-US" w:eastAsia="zh-CN" w:bidi="ar-SA"/>
              </w:rPr>
              <w:t xml:space="preserve">.</w:t>
            </w:r>
            <w:r>
              <w:rPr>
                <w:rFonts w:hint="eastAsia"/>
                <w:sz w:val="21"/>
                <w:lang w:val="en-US" w:bidi="ar-SA"/>
              </w:rPr>
              <w:t xml:space="preserve">项目时间进度安排；2</w:t>
            </w:r>
            <w:r>
              <w:rPr>
                <w:rFonts w:hint="eastAsia"/>
                <w:sz w:val="21"/>
                <w:lang w:val="en-US" w:eastAsia="zh-CN" w:bidi="ar-SA"/>
              </w:rPr>
              <w:t xml:space="preserve">.</w:t>
            </w:r>
            <w:r>
              <w:rPr>
                <w:rFonts w:hint="eastAsia"/>
                <w:sz w:val="21"/>
                <w:lang w:val="en-US" w:bidi="ar-SA"/>
              </w:rPr>
              <w:t xml:space="preserve">项目管理组织架构；3</w:t>
            </w:r>
            <w:r>
              <w:rPr>
                <w:rFonts w:hint="eastAsia"/>
                <w:sz w:val="21"/>
                <w:lang w:val="en-US" w:eastAsia="zh-CN" w:bidi="ar-SA"/>
              </w:rPr>
              <w:t xml:space="preserve">.</w:t>
            </w:r>
            <w:r>
              <w:rPr>
                <w:rFonts w:hint="eastAsia"/>
                <w:sz w:val="21"/>
                <w:lang w:val="en-US" w:bidi="ar-SA"/>
              </w:rPr>
              <w:t xml:space="preserve">质量保障措施；4</w:t>
            </w:r>
            <w:r>
              <w:rPr>
                <w:rFonts w:hint="eastAsia"/>
                <w:sz w:val="21"/>
                <w:lang w:val="en-US" w:eastAsia="zh-CN" w:bidi="ar-SA"/>
              </w:rPr>
              <w:t xml:space="preserve">.</w:t>
            </w:r>
            <w:r>
              <w:rPr>
                <w:rFonts w:hint="eastAsia"/>
                <w:sz w:val="21"/>
                <w:lang w:val="en-US" w:bidi="ar-SA"/>
              </w:rPr>
              <w:t xml:space="preserve">技术控制措施；5</w:t>
            </w:r>
            <w:r>
              <w:rPr>
                <w:rFonts w:hint="eastAsia"/>
                <w:sz w:val="21"/>
                <w:lang w:val="en-US" w:eastAsia="zh-CN" w:bidi="ar-SA"/>
              </w:rPr>
              <w:t xml:space="preserve">.</w:t>
            </w:r>
            <w:r>
              <w:rPr>
                <w:rFonts w:hint="eastAsia"/>
                <w:sz w:val="21"/>
                <w:lang w:val="en-US" w:bidi="ar-SA"/>
              </w:rPr>
              <w:t xml:space="preserve">安全文明实施措施；6</w:t>
            </w:r>
            <w:r>
              <w:rPr>
                <w:rFonts w:hint="eastAsia"/>
                <w:sz w:val="21"/>
                <w:lang w:val="en-US" w:eastAsia="zh-CN" w:bidi="ar-SA"/>
              </w:rPr>
              <w:t xml:space="preserve">.</w:t>
            </w:r>
            <w:r>
              <w:rPr>
                <w:rFonts w:hint="eastAsia"/>
                <w:sz w:val="21"/>
                <w:lang w:val="en-US" w:bidi="ar-SA"/>
              </w:rPr>
              <w:t xml:space="preserve">资源配置方案；7</w:t>
            </w:r>
            <w:r>
              <w:rPr>
                <w:rFonts w:hint="eastAsia"/>
                <w:sz w:val="21"/>
                <w:lang w:val="en-US" w:eastAsia="zh-CN" w:bidi="ar-SA"/>
              </w:rPr>
              <w:t xml:space="preserve">.</w:t>
            </w:r>
            <w:r>
              <w:rPr>
                <w:rFonts w:hint="eastAsia"/>
                <w:sz w:val="21"/>
                <w:lang w:val="en-US" w:bidi="ar-SA"/>
              </w:rPr>
              <w:t xml:space="preserve">沟通协调管理方案；8</w:t>
            </w:r>
            <w:r>
              <w:rPr>
                <w:rFonts w:hint="eastAsia"/>
                <w:sz w:val="21"/>
                <w:lang w:val="en-US" w:eastAsia="zh-CN" w:bidi="ar-SA"/>
              </w:rPr>
              <w:t xml:space="preserve">.</w:t>
            </w:r>
            <w:r>
              <w:rPr>
                <w:rFonts w:hint="eastAsia"/>
                <w:sz w:val="21"/>
                <w:lang w:val="en-US" w:bidi="ar-SA"/>
              </w:rPr>
              <w:t xml:space="preserve">重难点分析及应对措施；9</w:t>
            </w:r>
            <w:r>
              <w:rPr>
                <w:rFonts w:hint="eastAsia"/>
                <w:sz w:val="21"/>
                <w:lang w:val="en-US" w:eastAsia="zh-CN" w:bidi="ar-SA"/>
              </w:rPr>
              <w:t xml:space="preserve">.</w:t>
            </w:r>
            <w:r>
              <w:rPr>
                <w:rFonts w:hint="eastAsia"/>
                <w:sz w:val="21"/>
                <w:lang w:val="en-US" w:bidi="ar-SA"/>
              </w:rPr>
              <w:t xml:space="preserve">档案管理方案；10</w:t>
            </w:r>
            <w:r>
              <w:rPr>
                <w:rFonts w:hint="eastAsia"/>
                <w:sz w:val="21"/>
                <w:lang w:val="en-US" w:eastAsia="zh-CN" w:bidi="ar-SA"/>
              </w:rPr>
              <w:t xml:space="preserve">.</w:t>
            </w:r>
            <w:r>
              <w:rPr>
                <w:rFonts w:hint="eastAsia"/>
                <w:sz w:val="21"/>
                <w:lang w:val="en-US" w:bidi="ar-SA"/>
              </w:rPr>
              <w:t xml:space="preserve">验收管理方案</w:t>
            </w:r>
            <w:r>
              <w:rPr>
                <w:rFonts w:hint="eastAsia"/>
                <w:sz w:val="21"/>
                <w:lang w:bidi="ar-SA"/>
              </w:rPr>
              <w:t xml:space="preserve">。</w:t>
            </w:r>
            <w:bookmarkEnd w:id="193"/>
            <w:r/>
            <w:r/>
          </w:p>
          <w:p>
            <w:pPr>
              <w:pStyle w:val="994"/>
              <w:rPr>
                <w:rFonts w:hint="eastAsia"/>
                <w:sz w:val="21"/>
                <w:lang w:bidi="ar-SA"/>
              </w:rPr>
            </w:pPr>
            <w:r>
              <w:rPr>
                <w:rFonts w:hint="eastAsia"/>
                <w:sz w:val="21"/>
                <w:lang w:bidi="ar-SA"/>
              </w:rPr>
              <w:t xml:space="preserve">（1）上述每项内容完整、科学性、合理性、操作性强的，得1分；</w:t>
            </w:r>
            <w:r/>
          </w:p>
          <w:p>
            <w:pPr>
              <w:pStyle w:val="994"/>
              <w:rPr>
                <w:rFonts w:hint="eastAsia"/>
                <w:sz w:val="21"/>
                <w:lang w:bidi="ar-SA"/>
              </w:rPr>
            </w:pPr>
            <w:r>
              <w:rPr>
                <w:rFonts w:hint="eastAsia"/>
                <w:sz w:val="21"/>
                <w:lang w:bidi="ar-SA"/>
              </w:rPr>
              <w:t xml:space="preserve">（2）上述每项内容基本完整、基本科学合理，有可操作性的，得0.5分；</w:t>
            </w:r>
            <w:r/>
          </w:p>
          <w:p>
            <w:pPr>
              <w:pStyle w:val="994"/>
              <w:rPr>
                <w:rFonts w:hint="eastAsia"/>
                <w:sz w:val="21"/>
                <w:lang w:bidi="ar-SA"/>
              </w:rPr>
            </w:pPr>
            <w:r>
              <w:rPr>
                <w:rFonts w:hint="eastAsia"/>
                <w:sz w:val="21"/>
                <w:lang w:bidi="ar-SA"/>
              </w:rPr>
              <w:t xml:space="preserve">（3）上述每项内容不完整、不科学合理、不具可操作性或未提供的不得分。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spacing w:val="-6"/>
              </w:rPr>
            </w:pPr>
            <w:r>
              <w:rPr>
                <w:rFonts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rPr>
            </w:pPr>
            <w:r>
              <w:rPr>
                <w:rFonts w:ascii="宋体" w:hAnsi="宋体" w:cs="宋体"/>
                <w:spacing w:val="-2"/>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94"/>
              <w:rPr>
                <w:rFonts w:hint="eastAsia"/>
                <w:sz w:val="21"/>
                <w:lang w:val="en-US" w:bidi="ar-SA"/>
              </w:rPr>
            </w:pPr>
            <w:r>
              <w:rPr>
                <w:sz w:val="21"/>
                <w:lang w:val="en-US" w:bidi="ar-SA"/>
              </w:rPr>
              <w:t xml:space="preserve">评委根据投标人提供的项目售后服务方案</w:t>
            </w:r>
            <w:r>
              <w:rPr>
                <w:rFonts w:hint="eastAsia"/>
                <w:sz w:val="21"/>
                <w:lang w:val="en-US" w:bidi="ar-SA"/>
              </w:rPr>
              <w:t xml:space="preserve">综合评分</w:t>
            </w:r>
            <w:r>
              <w:rPr>
                <w:rFonts w:hint="eastAsia" w:ascii="Times New Roman" w:hAnsi="Times New Roman" w:cs="Times New Roman"/>
                <w:lang w:val="en-US"/>
              </w:rPr>
              <w:t xml:space="preserve">，</w:t>
            </w:r>
            <w:r>
              <w:rPr>
                <w:sz w:val="21"/>
                <w:lang w:val="en-US" w:bidi="ar-SA"/>
              </w:rPr>
              <w:t xml:space="preserve">包</w:t>
            </w:r>
            <w:r>
              <w:rPr>
                <w:rFonts w:hint="eastAsia"/>
                <w:sz w:val="21"/>
                <w:lang w:val="en-US" w:bidi="ar-SA"/>
              </w:rPr>
              <w:t xml:space="preserve">含1.</w:t>
            </w:r>
            <w:r>
              <w:rPr>
                <w:sz w:val="21"/>
                <w:lang w:val="en-US" w:bidi="ar-SA"/>
              </w:rPr>
              <w:t xml:space="preserve">服务内容</w:t>
            </w:r>
            <w:r>
              <w:rPr>
                <w:rFonts w:hint="eastAsia"/>
                <w:sz w:val="21"/>
                <w:lang w:val="en-US" w:bidi="ar-SA"/>
              </w:rPr>
              <w:t xml:space="preserve">；2.</w:t>
            </w:r>
            <w:r>
              <w:rPr>
                <w:sz w:val="21"/>
                <w:lang w:val="en-US" w:bidi="ar-SA"/>
              </w:rPr>
              <w:t xml:space="preserve">故障解决方案</w:t>
            </w:r>
            <w:r>
              <w:rPr>
                <w:rFonts w:hint="eastAsia"/>
                <w:sz w:val="21"/>
                <w:lang w:val="en-US" w:bidi="ar-SA"/>
              </w:rPr>
              <w:t xml:space="preserve">；3.</w:t>
            </w:r>
            <w:r>
              <w:rPr>
                <w:sz w:val="21"/>
                <w:lang w:val="en-US" w:bidi="ar-SA"/>
              </w:rPr>
              <w:t xml:space="preserve">响应时间</w:t>
            </w:r>
            <w:r>
              <w:rPr>
                <w:rFonts w:hint="eastAsia"/>
                <w:sz w:val="21"/>
                <w:lang w:val="en-US" w:bidi="ar-SA"/>
              </w:rPr>
              <w:t xml:space="preserve">；4.</w:t>
            </w:r>
            <w:r>
              <w:rPr>
                <w:sz w:val="21"/>
                <w:lang w:val="en-US" w:bidi="ar-SA"/>
              </w:rPr>
              <w:t xml:space="preserve">技术人员保障及服务电话</w:t>
            </w:r>
            <w:r>
              <w:rPr>
                <w:rFonts w:hint="eastAsia"/>
                <w:sz w:val="21"/>
                <w:lang w:val="en-US" w:bidi="ar-SA"/>
              </w:rPr>
              <w:t xml:space="preserve">。以上</w:t>
            </w:r>
            <w:r>
              <w:rPr>
                <w:rFonts w:hint="eastAsia" w:ascii="Times New Roman" w:hAnsi="Times New Roman" w:cs="Times New Roman"/>
                <w:lang w:val="en-US"/>
              </w:rPr>
              <w:t xml:space="preserve">每项内容逐条阐述。</w:t>
            </w:r>
            <w:r/>
          </w:p>
          <w:p>
            <w:pPr>
              <w:pStyle w:val="994"/>
              <w:rPr>
                <w:rFonts w:hint="eastAsia"/>
                <w:sz w:val="21"/>
                <w:lang w:bidi="ar-SA"/>
              </w:rPr>
            </w:pPr>
            <w:r>
              <w:rPr>
                <w:sz w:val="21"/>
                <w:lang w:bidi="ar-SA"/>
              </w:rPr>
              <w:t xml:space="preserve">（1）</w:t>
            </w:r>
            <w:r>
              <w:rPr>
                <w:rFonts w:hint="eastAsia"/>
                <w:sz w:val="21"/>
                <w:szCs w:val="21"/>
                <w:lang w:val="en-US" w:bidi="ar-SA"/>
              </w:rPr>
              <w:t xml:space="preserve">上述每项内容</w:t>
            </w:r>
            <w:r>
              <w:rPr>
                <w:sz w:val="21"/>
                <w:lang w:bidi="ar-SA"/>
              </w:rPr>
              <w:t xml:space="preserve">完整、科学性、合理性、操作性强的，得</w:t>
            </w:r>
            <w:r>
              <w:rPr>
                <w:rFonts w:hint="eastAsia"/>
                <w:sz w:val="21"/>
                <w:lang w:val="en-US" w:bidi="ar-SA"/>
              </w:rPr>
              <w:t xml:space="preserve">2</w:t>
            </w:r>
            <w:r>
              <w:rPr>
                <w:sz w:val="21"/>
                <w:lang w:bidi="ar-SA"/>
              </w:rPr>
              <w:t xml:space="preserve">分；</w:t>
            </w:r>
            <w:r/>
          </w:p>
          <w:p>
            <w:pPr>
              <w:pStyle w:val="994"/>
              <w:rPr>
                <w:rFonts w:hint="eastAsia"/>
                <w:sz w:val="21"/>
                <w:lang w:bidi="ar-SA"/>
              </w:rPr>
            </w:pPr>
            <w:r>
              <w:rPr>
                <w:sz w:val="21"/>
                <w:lang w:bidi="ar-SA"/>
              </w:rPr>
              <w:t xml:space="preserve">（2）</w:t>
            </w:r>
            <w:r>
              <w:rPr>
                <w:rFonts w:hint="eastAsia"/>
                <w:sz w:val="21"/>
                <w:szCs w:val="21"/>
                <w:lang w:val="en-US" w:bidi="ar-SA"/>
              </w:rPr>
              <w:t xml:space="preserve">上述每项内容</w:t>
            </w:r>
            <w:r>
              <w:rPr>
                <w:sz w:val="21"/>
                <w:lang w:bidi="ar-SA"/>
              </w:rPr>
              <w:t xml:space="preserve">基本完整、基本科学合理，有可操作性的，得</w:t>
            </w:r>
            <w:r>
              <w:rPr>
                <w:rFonts w:hint="eastAsia"/>
                <w:sz w:val="21"/>
                <w:lang w:val="en-US" w:bidi="ar-SA"/>
              </w:rPr>
              <w:t xml:space="preserve">1</w:t>
            </w:r>
            <w:r>
              <w:rPr>
                <w:sz w:val="21"/>
                <w:lang w:bidi="ar-SA"/>
              </w:rPr>
              <w:t xml:space="preserve">分； </w:t>
            </w:r>
            <w:r/>
          </w:p>
          <w:p>
            <w:pPr>
              <w:pStyle w:val="994"/>
              <w:rPr>
                <w:rFonts w:hint="eastAsia"/>
                <w:sz w:val="21"/>
                <w:lang w:val="en-US" w:bidi="ar-SA"/>
              </w:rPr>
            </w:pPr>
            <w:r>
              <w:t xml:space="preserve">（3）</w:t>
            </w:r>
            <w:r>
              <w:rPr>
                <w:rFonts w:hint="eastAsia"/>
                <w:szCs w:val="21"/>
              </w:rPr>
              <w:t xml:space="preserve">上述每项内容</w:t>
            </w:r>
            <w:r>
              <w:t xml:space="preserve">不完整、不科学合理、不具可操作性或未提供的不得分。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cs="宋体"/>
                <w:spacing w:val="-6"/>
              </w:rPr>
            </w:pPr>
            <w:r>
              <w:rPr>
                <w:rFonts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rPr>
            </w:pPr>
            <w:r>
              <w:rPr>
                <w:rFonts w:hint="eastAsia" w:ascii="宋体" w:hAnsi="宋体" w:cs="宋体"/>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ascii="宋体" w:hAnsi="宋体" w:cs="宋体"/>
                <w:szCs w:val="21"/>
              </w:rPr>
            </w:pPr>
            <w:r>
              <w:rPr>
                <w:rFonts w:ascii="宋体" w:hAnsi="宋体" w:cs="宋体"/>
              </w:rPr>
              <w:t xml:space="preserve">评委根据投标人提供的项目培训方案</w:t>
            </w:r>
            <w:r>
              <w:rPr>
                <w:rFonts w:hint="eastAsia" w:ascii="宋体" w:hAnsi="宋体" w:cs="宋体"/>
              </w:rPr>
              <w:t xml:space="preserve">评分</w:t>
            </w:r>
            <w:r>
              <w:rPr>
                <w:rFonts w:hint="eastAsia" w:ascii="宋体" w:hAnsi="宋体" w:cs="宋体"/>
                <w:szCs w:val="21"/>
              </w:rPr>
              <w:t xml:space="preserve">（每项内容逐条阐述）：</w:t>
            </w:r>
            <w:r/>
          </w:p>
          <w:p>
            <w:pPr>
              <w:jc w:val="left"/>
              <w:spacing w:line="264" w:lineRule="auto"/>
              <w:widowControl/>
              <w:rPr>
                <w:rFonts w:ascii="宋体" w:hAnsi="宋体" w:cs="宋体"/>
              </w:rPr>
            </w:pPr>
            <w:r>
              <w:rPr>
                <w:rFonts w:ascii="宋体" w:hAnsi="宋体" w:cs="宋体"/>
              </w:rPr>
              <w:t xml:space="preserve">包括</w:t>
            </w:r>
            <w:r>
              <w:rPr>
                <w:rFonts w:hint="eastAsia" w:ascii="宋体" w:hAnsi="宋体" w:cs="宋体"/>
              </w:rPr>
              <w:t xml:space="preserve">1</w:t>
            </w:r>
            <w:r>
              <w:rPr>
                <w:rFonts w:hint="eastAsia" w:ascii="宋体" w:hAnsi="宋体" w:cs="宋体"/>
                <w:lang w:val="en-US" w:eastAsia="zh-CN"/>
              </w:rPr>
              <w:t xml:space="preserve">.</w:t>
            </w:r>
            <w:r>
              <w:rPr>
                <w:rFonts w:ascii="宋体" w:hAnsi="宋体" w:cs="宋体"/>
              </w:rPr>
              <w:t xml:space="preserve">培训计划</w:t>
            </w:r>
            <w:r>
              <w:rPr>
                <w:rFonts w:hint="eastAsia" w:ascii="宋体" w:hAnsi="宋体" w:cs="宋体"/>
              </w:rPr>
              <w:t xml:space="preserve">；2</w:t>
            </w:r>
            <w:r>
              <w:rPr>
                <w:rFonts w:hint="eastAsia" w:ascii="宋体" w:hAnsi="宋体" w:cs="宋体"/>
                <w:lang w:val="en-US" w:eastAsia="zh-CN"/>
              </w:rPr>
              <w:t xml:space="preserve">.</w:t>
            </w:r>
            <w:r>
              <w:rPr>
                <w:rFonts w:ascii="宋体" w:hAnsi="宋体" w:cs="宋体"/>
              </w:rPr>
              <w:t xml:space="preserve">培训内容</w:t>
            </w:r>
            <w:r>
              <w:rPr>
                <w:rFonts w:hint="eastAsia" w:ascii="宋体" w:hAnsi="宋体" w:cs="宋体"/>
              </w:rPr>
              <w:t xml:space="preserve">；3</w:t>
            </w:r>
            <w:r>
              <w:rPr>
                <w:rFonts w:hint="eastAsia" w:ascii="宋体" w:hAnsi="宋体" w:cs="宋体"/>
                <w:lang w:val="en-US" w:eastAsia="zh-CN"/>
              </w:rPr>
              <w:t xml:space="preserve">.</w:t>
            </w:r>
            <w:r>
              <w:rPr>
                <w:rFonts w:ascii="宋体" w:hAnsi="宋体" w:cs="宋体"/>
              </w:rPr>
              <w:t xml:space="preserve">师资力量</w:t>
            </w:r>
            <w:r>
              <w:rPr>
                <w:rFonts w:hint="eastAsia" w:ascii="宋体" w:hAnsi="宋体" w:cs="宋体"/>
              </w:rPr>
              <w:t xml:space="preserve">。</w:t>
            </w:r>
            <w:r/>
          </w:p>
          <w:p>
            <w:pPr>
              <w:jc w:val="left"/>
              <w:spacing w:line="264" w:lineRule="auto"/>
              <w:widowControl/>
              <w:rPr>
                <w:rFonts w:hint="eastAsia" w:ascii="宋体" w:hAnsi="宋体" w:cs="宋体"/>
              </w:rPr>
            </w:pPr>
            <w:r>
              <w:rPr>
                <w:rFonts w:ascii="宋体" w:hAnsi="宋体" w:cs="宋体"/>
              </w:rPr>
              <w:t xml:space="preserve">（1）</w:t>
            </w:r>
            <w:r>
              <w:rPr>
                <w:rFonts w:hint="eastAsia" w:ascii="宋体" w:hAnsi="宋体" w:cs="宋体"/>
                <w:szCs w:val="21"/>
              </w:rPr>
              <w:t xml:space="preserve">上述每项</w:t>
            </w:r>
            <w:r>
              <w:rPr>
                <w:rFonts w:ascii="宋体" w:hAnsi="宋体" w:cs="宋体"/>
              </w:rPr>
              <w:t xml:space="preserve">方案完整详细、针对性强的，得</w:t>
            </w:r>
            <w:r>
              <w:rPr>
                <w:rFonts w:hint="eastAsia" w:ascii="宋体" w:hAnsi="宋体" w:cs="宋体"/>
              </w:rPr>
              <w:t xml:space="preserve">2</w:t>
            </w:r>
            <w:r>
              <w:rPr>
                <w:rFonts w:ascii="宋体" w:hAnsi="宋体" w:cs="宋体"/>
              </w:rPr>
              <w:t xml:space="preserve">分；</w:t>
            </w:r>
            <w:r/>
          </w:p>
          <w:p>
            <w:pPr>
              <w:jc w:val="left"/>
              <w:spacing w:line="264" w:lineRule="auto"/>
              <w:widowControl/>
              <w:rPr>
                <w:rFonts w:hint="eastAsia" w:ascii="宋体" w:hAnsi="宋体" w:cs="宋体"/>
              </w:rPr>
            </w:pPr>
            <w:r>
              <w:rPr>
                <w:rFonts w:ascii="宋体" w:hAnsi="宋体" w:cs="宋体"/>
              </w:rPr>
              <w:t xml:space="preserve">（2）</w:t>
            </w:r>
            <w:r>
              <w:rPr>
                <w:rFonts w:hint="eastAsia" w:ascii="宋体" w:hAnsi="宋体" w:cs="宋体"/>
                <w:szCs w:val="21"/>
              </w:rPr>
              <w:t xml:space="preserve">上述每项</w:t>
            </w:r>
            <w:r>
              <w:rPr>
                <w:rFonts w:ascii="宋体" w:hAnsi="宋体" w:cs="宋体"/>
              </w:rPr>
              <w:t xml:space="preserve">方案</w:t>
            </w:r>
            <w:r>
              <w:rPr>
                <w:rFonts w:hint="eastAsia" w:ascii="宋体" w:hAnsi="宋体" w:cs="宋体"/>
              </w:rPr>
              <w:t xml:space="preserve">较</w:t>
            </w:r>
            <w:r>
              <w:rPr>
                <w:rFonts w:ascii="宋体" w:hAnsi="宋体" w:cs="宋体"/>
              </w:rPr>
              <w:t xml:space="preserve">完整详细、针对性</w:t>
            </w:r>
            <w:r>
              <w:rPr>
                <w:rFonts w:hint="eastAsia" w:ascii="宋体" w:hAnsi="宋体" w:cs="宋体"/>
              </w:rPr>
              <w:t xml:space="preserve">较</w:t>
            </w:r>
            <w:r>
              <w:rPr>
                <w:rFonts w:ascii="宋体" w:hAnsi="宋体" w:cs="宋体"/>
              </w:rPr>
              <w:t xml:space="preserve">强的，得</w:t>
            </w:r>
            <w:r>
              <w:rPr>
                <w:rFonts w:hint="eastAsia" w:ascii="宋体" w:hAnsi="宋体" w:cs="宋体"/>
              </w:rPr>
              <w:t xml:space="preserve">1</w:t>
            </w:r>
            <w:r>
              <w:rPr>
                <w:rFonts w:ascii="宋体" w:hAnsi="宋体" w:cs="宋体"/>
              </w:rPr>
              <w:t xml:space="preserve">分；</w:t>
            </w:r>
            <w:r/>
          </w:p>
          <w:p>
            <w:pPr>
              <w:pStyle w:val="700"/>
              <w:rPr>
                <w:rFonts w:hint="eastAsia"/>
              </w:rPr>
            </w:pPr>
            <w:r>
              <w:rPr>
                <w:rFonts w:hint="eastAsia" w:hAnsi="宋体" w:cs="宋体"/>
              </w:rPr>
              <w:t xml:space="preserve">（3）上述每项</w:t>
            </w:r>
            <w:r>
              <w:rPr>
                <w:rFonts w:hAnsi="宋体" w:cs="宋体"/>
              </w:rPr>
              <w:t xml:space="preserve">方案没有针对性或未提供方案的不得分。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lang w:bidi="zh-CN"/>
              </w:rPr>
            </w:pPr>
            <w:r>
              <w:rPr>
                <w:rFonts w:hint="eastAsia" w:ascii="宋体" w:hAnsi="宋体" w:cs="宋体"/>
              </w:rPr>
              <w:t xml:space="preserve">投标人提供2022年1月1日（含）以来类似项目业绩（至少包含录播主机产品），每提供1个得</w:t>
            </w:r>
            <w:r>
              <w:rPr>
                <w:rFonts w:hint="eastAsia" w:ascii="宋体" w:hAnsi="宋体" w:cs="宋体"/>
                <w:lang w:val="en-US" w:eastAsia="zh-CN"/>
              </w:rPr>
              <w:t xml:space="preserve">2</w:t>
            </w:r>
            <w:r>
              <w:rPr>
                <w:rFonts w:hint="eastAsia" w:ascii="宋体" w:hAnsi="宋体" w:cs="宋体"/>
              </w:rPr>
              <w:t xml:space="preserve">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eastAsia="宋体" w:cs="宋体"/>
                <w:szCs w:val="21"/>
                <w:lang w:eastAsia="zh-CN"/>
              </w:rPr>
            </w:pPr>
            <w:r>
              <w:rPr>
                <w:rFonts w:hint="eastAsia" w:ascii="宋体" w:hAnsi="宋体" w:cs="宋体"/>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lang w:eastAsia="zh-CN"/>
              </w:rPr>
            </w:pPr>
            <w:r>
              <w:rPr>
                <w:rFonts w:hint="eastAsia" w:ascii="宋体" w:hAnsi="宋体" w:cs="宋体"/>
                <w:spacing w:val="-2"/>
              </w:rPr>
              <w:t xml:space="preserve">5.</w:t>
            </w:r>
            <w:r>
              <w:rPr>
                <w:rFonts w:hint="eastAsia" w:ascii="宋体" w:hAnsi="宋体" w:cs="宋体"/>
                <w:spacing w:val="-2"/>
                <w:lang w:val="en-US" w:eastAsia="zh-CN"/>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eastAsia="宋体" w:cs="宋体"/>
                <w:lang w:eastAsia="zh-CN"/>
              </w:rPr>
            </w:pPr>
            <w:r>
              <w:rPr>
                <w:rFonts w:hint="eastAsia" w:ascii="宋体" w:hAnsi="宋体" w:cs="宋体"/>
              </w:rPr>
              <w:t xml:space="preserve">履约能力</w:t>
            </w:r>
            <w:r>
              <w:rPr>
                <w:rFonts w:hint="eastAsia" w:ascii="宋体" w:hAnsi="宋体" w:cs="宋体"/>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w:t>
            </w:r>
            <w:r>
              <w:rPr>
                <w:rFonts w:hint="eastAsia"/>
                <w:color w:val="000000"/>
                <w:szCs w:val="21"/>
              </w:rPr>
              <w:t xml:space="preserve">拟投入本项目的</w:t>
            </w:r>
            <w:r>
              <w:rPr>
                <w:rFonts w:hint="eastAsia" w:ascii="宋体" w:hAnsi="宋体" w:cs="宋体"/>
              </w:rPr>
              <w:t xml:space="preserve">项目负责人具有中级工程师职称的得1分，高级及以上工程师职称证书的得</w:t>
            </w:r>
            <w:r>
              <w:rPr>
                <w:rFonts w:hint="eastAsia" w:ascii="宋体" w:hAnsi="宋体" w:cs="宋体"/>
                <w:lang w:val="en-US" w:eastAsia="zh-CN"/>
              </w:rPr>
              <w:t xml:space="preserve">2</w:t>
            </w:r>
            <w:r>
              <w:rPr>
                <w:rFonts w:hint="eastAsia" w:ascii="宋体" w:hAnsi="宋体" w:cs="宋体"/>
              </w:rPr>
              <w:t xml:space="preserve">分，</w:t>
            </w:r>
            <w:r>
              <w:rPr>
                <w:rFonts w:hint="eastAsia" w:hAnsi="宋体" w:cs="宋体"/>
              </w:rPr>
              <w:t xml:space="preserve">未提供不得分（</w:t>
            </w:r>
            <w:r>
              <w:rPr>
                <w:rFonts w:hint="eastAsia" w:ascii="宋体" w:hAnsi="宋体" w:cs="宋体"/>
              </w:rPr>
              <w:t xml:space="preserve">提供证书及投标人为其缴纳的</w:t>
            </w:r>
            <w:r>
              <w:rPr>
                <w:rFonts w:hint="eastAsia" w:ascii="宋体" w:hAnsi="宋体" w:cs="宋体"/>
                <w:lang w:val="en-US" w:eastAsia="zh-CN"/>
              </w:rPr>
              <w:t xml:space="preserve">2025年1月</w:t>
            </w:r>
            <w:r>
              <w:rPr>
                <w:rFonts w:hint="eastAsia" w:ascii="宋体" w:hAnsi="宋体" w:cs="宋体"/>
              </w:rPr>
              <w:t xml:space="preserve">以来任意一个月的社保证明材料</w:t>
            </w:r>
            <w:r>
              <w:rPr>
                <w:rFonts w:hint="eastAsia" w:ascii="宋体" w:hAnsi="宋体" w:cs="宋体"/>
                <w:lang w:eastAsia="zh-CN"/>
              </w:rPr>
              <w:t xml:space="preserve">，</w:t>
            </w:r>
            <w:r>
              <w:rPr>
                <w:rFonts w:hint="eastAsia" w:ascii="宋体" w:hAnsi="宋体" w:cs="宋体"/>
              </w:rPr>
              <w:t xml:space="preserve">缺一不可）</w:t>
            </w:r>
            <w:r>
              <w:rPr>
                <w:rFonts w:hint="eastAsia" w:ascii="宋体" w:hAnsi="宋体" w:cs="宋体"/>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lang w:eastAsia="zh-CN"/>
              </w:rPr>
            </w:pPr>
            <w:r>
              <w:rPr>
                <w:rFonts w:hint="eastAsia" w:ascii="宋体" w:hAnsi="宋体" w:cs="宋体"/>
                <w:spacing w:val="-2"/>
              </w:rPr>
              <w:t xml:space="preserve">5.</w:t>
            </w:r>
            <w:r>
              <w:rPr>
                <w:rFonts w:hint="eastAsia" w:ascii="宋体" w:hAnsi="宋体" w:cs="宋体"/>
                <w:spacing w:val="-2"/>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1"/>
                <w:lang w:eastAsia="zh-CN"/>
              </w:rPr>
            </w:pPr>
            <w:r>
              <w:rPr>
                <w:rFonts w:hint="eastAsia" w:ascii="宋体" w:hAnsi="宋体" w:cs="宋体"/>
                <w:spacing w:val="-1"/>
              </w:rPr>
              <w:t xml:space="preserve">履约能力</w:t>
            </w:r>
            <w:r>
              <w:rPr>
                <w:rFonts w:hint="eastAsia" w:ascii="宋体" w:hAnsi="宋体" w:cs="宋体"/>
                <w:spacing w:val="-1"/>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pStyle w:val="994"/>
              <w:rPr>
                <w:rFonts w:hint="eastAsia"/>
              </w:rPr>
            </w:pPr>
            <w:r>
              <w:rPr>
                <w:rFonts w:hint="eastAsia"/>
                <w:color w:val="000000"/>
                <w:sz w:val="21"/>
                <w:szCs w:val="21"/>
                <w:lang w:val="en-US"/>
              </w:rPr>
              <w:t xml:space="preserve">投标人</w:t>
            </w:r>
            <w:r>
              <w:rPr>
                <w:rFonts w:hint="eastAsia"/>
                <w:color w:val="000000"/>
                <w:sz w:val="21"/>
                <w:szCs w:val="21"/>
              </w:rPr>
              <w:t xml:space="preserve">拟投入本项目的团队实施人员（项目负责人除外）具有中级及以上工程师职称</w:t>
            </w:r>
            <w:r>
              <w:rPr>
                <w:rFonts w:hint="eastAsia"/>
                <w:color w:val="000000"/>
                <w:sz w:val="21"/>
                <w:szCs w:val="21"/>
                <w:lang w:val="en-US"/>
              </w:rPr>
              <w:t xml:space="preserve">证书</w:t>
            </w:r>
            <w:r>
              <w:rPr>
                <w:rFonts w:hint="eastAsia"/>
                <w:color w:val="000000"/>
                <w:sz w:val="21"/>
                <w:szCs w:val="21"/>
              </w:rPr>
              <w:t xml:space="preserve">，每提供</w:t>
            </w:r>
            <w:r>
              <w:rPr>
                <w:rFonts w:hint="eastAsia"/>
                <w:color w:val="000000"/>
                <w:sz w:val="21"/>
                <w:szCs w:val="21"/>
                <w:lang w:val="en-US"/>
              </w:rPr>
              <w:t xml:space="preserve">一人</w:t>
            </w:r>
            <w:r>
              <w:rPr>
                <w:rFonts w:hint="eastAsia"/>
                <w:color w:val="000000"/>
                <w:sz w:val="21"/>
                <w:szCs w:val="21"/>
              </w:rPr>
              <w:t xml:space="preserve">得1分</w:t>
            </w:r>
            <w:r>
              <w:rPr>
                <w:rFonts w:hint="eastAsia"/>
              </w:rPr>
              <w:t xml:space="preserve">，</w:t>
            </w:r>
            <w:r>
              <w:rPr>
                <w:rFonts w:hint="eastAsia"/>
              </w:rPr>
            </w:r>
            <w:r>
              <w:rPr>
                <w:rFonts w:hint="eastAsia"/>
                <w:lang w:eastAsia="zh-CN"/>
              </w:rPr>
              <w:t xml:space="preserve">最多得</w:t>
            </w:r>
            <w:r>
              <w:rPr>
                <w:rFonts w:hint="eastAsia"/>
                <w:lang w:val="en-US" w:eastAsia="zh-CN"/>
              </w:rPr>
              <w:t xml:space="preserve">3分，</w:t>
            </w:r>
            <w:r>
              <w:rPr>
                <w:rFonts w:hint="eastAsia"/>
              </w:rPr>
              <w:t xml:space="preserve">未提供不得分</w:t>
            </w:r>
            <w:r>
              <w:rPr>
                <w:rFonts w:hint="eastAsia" w:ascii="宋体" w:hAnsi="宋体" w:cs="宋体"/>
                <w:color w:val="000000"/>
              </w:rPr>
              <w:t xml:space="preserve">（</w:t>
            </w:r>
            <w:r>
              <w:rPr>
                <w:rFonts w:hint="eastAsia" w:ascii="宋体" w:hAnsi="宋体" w:cs="宋体"/>
              </w:rPr>
              <w:t xml:space="preserve">提供证书及投标人为其缴纳的</w:t>
            </w:r>
            <w:r>
              <w:rPr>
                <w:rFonts w:hint="eastAsia" w:ascii="宋体" w:hAnsi="宋体" w:cs="宋体"/>
                <w:lang w:val="en-US" w:eastAsia="zh-CN"/>
              </w:rPr>
              <w:t xml:space="preserve">2025年1月</w:t>
            </w:r>
            <w:r>
              <w:rPr>
                <w:rFonts w:hint="eastAsia" w:ascii="宋体" w:hAnsi="宋体" w:cs="宋体"/>
              </w:rPr>
              <w:t xml:space="preserve">以来任意一个月的社保证明材料</w:t>
            </w:r>
            <w:r>
              <w:rPr>
                <w:rFonts w:hint="eastAsia" w:ascii="宋体" w:hAnsi="宋体" w:cs="宋体"/>
                <w:lang w:eastAsia="zh-CN"/>
              </w:rPr>
              <w:t xml:space="preserve">，</w:t>
            </w:r>
            <w:r>
              <w:rPr>
                <w:rFonts w:hint="eastAsia" w:ascii="宋体" w:hAnsi="宋体" w:cs="宋体"/>
              </w:rPr>
              <w:t xml:space="preserve">缺一不可</w:t>
            </w:r>
            <w:r>
              <w:rPr>
                <w:rFonts w:hint="eastAsia" w:ascii="宋体" w:hAnsi="宋体" w:cs="宋体"/>
                <w:color w:val="000000"/>
              </w:rPr>
              <w:t xml:space="preserve">）</w:t>
            </w:r>
            <w:r>
              <w:rPr>
                <w:rFonts w:hint="eastAsia" w:ascii="宋体" w:hAnsi="宋体" w:cs="宋体"/>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spacing w:val="-6"/>
              </w:rPr>
            </w:pPr>
            <w:r>
              <w:rPr>
                <w:rFonts w:hint="eastAsia" w:ascii="宋体" w:hAnsi="宋体" w:cs="宋体"/>
                <w:b/>
                <w:bCs/>
                <w:spacing w:val="-3"/>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6.1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1"/>
              </w:rPr>
            </w:pPr>
            <w:r>
              <w:rPr>
                <w:rFonts w:hint="eastAsia" w:ascii="宋体" w:hAnsi="宋体" w:cs="宋体"/>
                <w:spacing w:val="-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spacing w:line="264" w:lineRule="auto"/>
              <w:rPr>
                <w:rFonts w:hint="eastAsia" w:ascii="宋体" w:hAnsi="宋体" w:eastAsia="宋体" w:cs="宋体"/>
                <w:lang w:eastAsia="zh-CN"/>
              </w:rPr>
            </w:pPr>
            <w:r>
              <w:rPr>
                <w:rFonts w:hint="eastAsia" w:hAnsi="宋体" w:cs="宋体"/>
              </w:rPr>
              <w:t xml:space="preserve">2.投标产品属于财政部、生态环境部公布的《环境</w:t>
            </w:r>
            <w:r>
              <w:rPr>
                <w:rFonts w:hAnsi="宋体" w:cs="宋体"/>
              </w:rPr>
              <w:t xml:space="preserve">标志产品品目清单</w:t>
            </w:r>
            <w:r>
              <w:rPr>
                <w:rFonts w:hint="eastAsia" w:hAnsi="宋体" w:cs="宋体"/>
              </w:rPr>
              <w:t xml:space="preserve">》</w:t>
            </w:r>
            <w:r>
              <w:rPr>
                <w:rFonts w:hAnsi="宋体" w:cs="宋体"/>
              </w:rPr>
              <w:t xml:space="preserve">（财库〔2019〕1</w:t>
            </w:r>
            <w:r>
              <w:rPr>
                <w:rFonts w:hint="eastAsia" w:hAnsi="宋体" w:cs="宋体"/>
              </w:rPr>
              <w:t xml:space="preserve">8</w:t>
            </w:r>
            <w:r>
              <w:rPr>
                <w:rFonts w:hAnsi="宋体" w:cs="宋体"/>
              </w:rPr>
              <w:t xml:space="preserve">号）</w:t>
            </w:r>
            <w:r>
              <w:rPr>
                <w:rFonts w:hint="eastAsia" w:hAnsi="宋体" w:cs="宋体"/>
              </w:rPr>
              <w:t xml:space="preserve">范围内的，投标人提供国家确定的认证机构出具的、处于有效期内的该环境标志产品认证证书的，有1个得0.5分，最多得1分</w:t>
            </w:r>
            <w:r>
              <w:rPr>
                <w:rFonts w:hint="eastAsia" w:hAnsi="宋体" w:cs="宋体"/>
                <w:lang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1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9"/>
      </w:pPr>
      <w:r>
        <w:rPr>
          <w:rFonts w:ascii="方正小标宋简体" w:hAnsi="方正小标宋简体" w:eastAsia="方正小标宋简体" w:cs="方正小标宋简体"/>
          <w:color w:val="000000"/>
          <w:sz w:val="36"/>
          <w:szCs w:val="36"/>
        </w:rPr>
        <w:br w:type="page" w:clear="all"/>
      </w:r>
      <w:r/>
    </w:p>
    <w:p>
      <w:pPr>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77"/>
      <w:r/>
      <w:bookmarkEnd w:id="178"/>
      <w:r/>
      <w:bookmarkEnd w:id="179"/>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4" w:name="_Hlt26955039"/>
      <w:r/>
      <w:bookmarkEnd w:id="194"/>
      <w:r/>
      <w:bookmarkStart w:id="195" w:name="_Hlt26671244"/>
      <w:r/>
      <w:bookmarkEnd w:id="195"/>
      <w:r/>
      <w:bookmarkStart w:id="196" w:name="_Toc26554094"/>
      <w:r/>
      <w:bookmarkStart w:id="197" w:name="_Toc49090576"/>
      <w:r/>
      <w:bookmarkStart w:id="198"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lang w:val="en-US" w:eastAsia="zh-CN"/>
        </w:rPr>
        <w:t xml:space="preserve">南京市第29中学新校区多媒体教学设备</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lang w:val="en-US" w:eastAsia="zh-CN"/>
        </w:rPr>
        <w:t xml:space="preserve">JSZC-320100-JZCG-G2025-0431</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bookmarkEnd w:id="196"/>
      <w:r/>
      <w:bookmarkEnd w:id="197"/>
      <w:r/>
      <w:bookmarkEnd w:id="198"/>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99"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88"/>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bCs/>
          <w:i/>
          <w:color w:val="000000"/>
          <w:sz w:val="32"/>
          <w:szCs w:val="32"/>
          <w:u w:val="single"/>
        </w:rPr>
      </w:pPr>
      <w:r>
        <w:rPr>
          <w:rFonts w:hint="eastAsia" w:ascii="黑体" w:hAnsi="黑体" w:eastAsia="黑体" w:cs="Times New Roman"/>
          <w:bCs/>
          <w:i/>
          <w:color w:val="000000"/>
          <w:sz w:val="32"/>
          <w:szCs w:val="32"/>
          <w:u w:val="single"/>
        </w:rPr>
      </w: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4"/>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3"/>
        <w:ind w:firstLine="480"/>
        <w:spacing w:line="420" w:lineRule="exact"/>
        <w:rPr>
          <w:rFonts w:hint="eastAsia"/>
          <w:sz w:val="24"/>
          <w:szCs w:val="24"/>
        </w:rPr>
      </w:pPr>
      <w:r>
        <w:rPr>
          <w:rFonts w:hint="eastAsia"/>
          <w:sz w:val="24"/>
          <w:szCs w:val="24"/>
        </w:rPr>
      </w:r>
      <w:r/>
    </w:p>
    <w:p>
      <w:pPr>
        <w:pStyle w:val="96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lang w:val="en-US" w:eastAsia="zh-CN"/>
        </w:rPr>
        <w:t xml:space="preserve">JSZC-320100-JZCG-G2025-0431</w:t>
      </w:r>
      <w:r>
        <w:rPr>
          <w:rFonts w:hint="eastAsia"/>
          <w:sz w:val="24"/>
          <w:szCs w:val="24"/>
        </w:rPr>
        <w:t xml:space="preserve">项目采购活动的合法代理人，以本单位名义全权处理一切与该项目采购有关的事务。</w:t>
      </w:r>
      <w:r/>
    </w:p>
    <w:p>
      <w:pPr>
        <w:pStyle w:val="96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63"/>
        <w:ind w:firstLine="480"/>
        <w:spacing w:line="480" w:lineRule="exact"/>
        <w:rPr>
          <w:rFonts w:hint="eastAsia"/>
          <w:sz w:val="24"/>
          <w:szCs w:val="24"/>
        </w:rPr>
      </w:pPr>
      <w:r>
        <w:rPr>
          <w:rFonts w:hint="eastAsia"/>
          <w:sz w:val="24"/>
          <w:szCs w:val="24"/>
        </w:rPr>
        <w:t xml:space="preserve">被授权人身份证号码：</w:t>
      </w:r>
      <w:r/>
    </w:p>
    <w:p>
      <w:pPr>
        <w:pStyle w:val="96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3"/>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3"/>
        <w:ind w:firstLine="480"/>
        <w:spacing w:line="480" w:lineRule="exact"/>
        <w:rPr>
          <w:rFonts w:hint="eastAsia"/>
          <w:sz w:val="24"/>
          <w:szCs w:val="24"/>
          <w:u w:val="single"/>
        </w:rPr>
      </w:pPr>
      <w:r>
        <w:rPr>
          <w:rFonts w:hint="eastAsia"/>
          <w:sz w:val="24"/>
          <w:szCs w:val="24"/>
        </w:rPr>
        <w:t xml:space="preserve">单位地址：</w:t>
      </w:r>
      <w:r/>
    </w:p>
    <w:p>
      <w:pPr>
        <w:pStyle w:val="96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671380"/>
      <w:r/>
      <w:bookmarkEnd w:id="200"/>
      <w:r/>
      <w:bookmarkStart w:id="201" w:name="_格式3__银行出具的资信证明"/>
      <w:r/>
      <w:bookmarkEnd w:id="201"/>
      <w:r/>
      <w:bookmarkStart w:id="202" w:name="_Hlt26955070"/>
      <w:r/>
      <w:bookmarkEnd w:id="202"/>
      <w:r/>
      <w:r/>
    </w:p>
    <w:p>
      <w:pPr>
        <w:pStyle w:val="878"/>
        <w:rPr>
          <w:rFonts w:hint="eastAsia"/>
          <w:i/>
          <w:sz w:val="24"/>
          <w:szCs w:val="24"/>
          <w:u w:val="single"/>
        </w:rPr>
      </w:pPr>
      <w:r>
        <w:rPr>
          <w:rFonts w:hint="eastAsia"/>
          <w:i/>
          <w:sz w:val="24"/>
          <w:szCs w:val="24"/>
          <w:u w:val="single"/>
        </w:rPr>
      </w:r>
      <w:r/>
    </w:p>
    <w:p>
      <w:pPr>
        <w:pStyle w:val="878"/>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bCs w:val="0"/>
          <w:i w:val="0"/>
          <w:sz w:val="32"/>
          <w:szCs w:val="32"/>
          <w:u w:val="none"/>
          <w:lang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JSZC-320100-JZCG-G2025-0431</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65"/>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65"/>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6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5"/>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rPr>
          <w:rFonts w:hint="eastAsia" w:ascii="宋体" w:hAnsi="宋体"/>
          <w:sz w:val="24"/>
          <w:szCs w:val="24"/>
          <w:lang w:val="en-US" w:eastAsia="zh-CN"/>
        </w:rPr>
        <w:t xml:space="preserve">南京市第29中学新校区多媒体教学设备</w:t>
      </w:r>
      <w:r/>
    </w:p>
    <w:p>
      <w:pPr>
        <w:ind w:firstLine="0"/>
        <w:rPr>
          <w:rFonts w:hint="eastAsia" w:ascii="宋体" w:hAnsi="宋体" w:eastAsia="宋体"/>
          <w:sz w:val="24"/>
          <w:szCs w:val="24"/>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hint="eastAsia" w:ascii="宋体" w:hAnsi="宋体"/>
          <w:sz w:val="24"/>
          <w:szCs w:val="24"/>
          <w:lang w:val="en-US" w:eastAsia="zh-CN"/>
        </w:rPr>
        <w:t xml:space="preserve">JSZC-320100-JZCG-G2025-0431</w:t>
      </w:r>
      <w:r>
        <w:rPr>
          <w:rFonts w:hint="eastAsia" w:ascii="宋体" w:hAnsi="宋体"/>
          <w:sz w:val="24"/>
          <w:szCs w:val="24"/>
        </w:rPr>
        <w:t xml:space="preserve">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ascii="宋体" w:hAnsi="宋体"/>
          <w:sz w:val="24"/>
          <w:szCs w:val="24"/>
          <w:lang w:val="en-US" w:eastAsia="zh-CN"/>
        </w:rPr>
        <w:t xml:space="preserve">\</w:t>
      </w:r>
      <w:r/>
    </w:p>
    <w:tbl>
      <w:tblPr>
        <w:tblStyle w:val="69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8"/>
        <w:rPr>
          <w:rFonts w:hint="eastAsia"/>
        </w:rPr>
      </w:pPr>
      <w:r>
        <w:rPr>
          <w:rFonts w:hint="eastAsia"/>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p>
    <w:p>
      <w:pPr>
        <w:rPr>
          <w:rFonts w:hint="eastAsia"/>
        </w:rPr>
      </w:pPr>
      <w:r>
        <w:rPr>
          <w:rFonts w:hint="eastAsia"/>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bCs w:val="0"/>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9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widowControl/>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rPr>
              <w:t xml:space="preserve">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rPr>
              <w:t xml:space="preserve">品牌</w:t>
            </w:r>
            <w:r/>
          </w:p>
        </w:tc>
        <w:tc>
          <w:tcPr>
            <w:tcW w:w="2391" w:type="dxa"/>
            <w:vAlign w:val="center"/>
            <w:textDirection w:val="lrTb"/>
            <w:noWrap w:val="false"/>
          </w:tcPr>
          <w:p>
            <w:pPr>
              <w:jc w:val="center"/>
              <w:spacing w:line="0" w:lineRule="atLeast"/>
              <w:widowControl/>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eastAsia="宋体" w:cs="Times New Roman"/>
                <w:sz w:val="24"/>
                <w:szCs w:val="24"/>
                <w:lang w:val="zh-CN"/>
              </w:rPr>
              <w:t xml:space="preserve">1</w:t>
            </w:r>
            <w:r/>
          </w:p>
        </w:tc>
        <w:tc>
          <w:tcPr>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58" w:type="dxa"/>
            <w:vAlign w:val="top"/>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391" w:type="dxa"/>
            <w:vAlign w:val="top"/>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hint="eastAsia" w:ascii="宋体" w:hAnsi="宋体" w:cs="宋体"/>
          <w:color w:val="000000"/>
          <w:highlight w:val="none"/>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699"/>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55"/>
        <w:gridCol w:w="130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5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305"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55"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30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888"/>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40"/>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888"/>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1.供应商须对采购文件商务要求中的实质性要求（斜体下划线内容或打“★”内容）做出明确响应，否则视为无效投标。</w:t>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南京市鼓楼区教育局</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JSZC-320100-JZCG-G2025-0431</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888"/>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1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pStyle w:val="700"/>
        <w:rPr>
          <w:rFonts w:hint="eastAsia"/>
          <w:lang w:eastAsia="zh-CN"/>
        </w:rPr>
      </w:pPr>
      <w:r>
        <w:rPr>
          <w:rFonts w:hint="eastAsia"/>
          <w:lang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88"/>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2"/>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88"/>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bookmarkEnd w:id="180"/>
      <w:r/>
      <w:bookmarkEnd w:id="181"/>
      <w:r/>
      <w:bookmarkEnd w:id="199"/>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p>
  <w:p>
    <w:pPr>
      <w:pStyle w:val="92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2"/>
      <w:isLgl w:val="false"/>
      <w:suff w:val="nothing"/>
      <w:lvlText w:val=""/>
      <w:lvlJc w:val="left"/>
      <w:pPr>
        <w:ind w:left="0" w:firstLine="0"/>
      </w:pPr>
      <w:rPr>
        <w:rFonts w:hint="eastAsia"/>
      </w:rPr>
    </w:lvl>
    <w:lvl w:ilvl="6">
      <w:start w:val="1"/>
      <w:numFmt w:val="decimal"/>
      <w:pStyle w:val="883"/>
      <w:isLgl w:val="false"/>
      <w:suff w:val="nothing"/>
      <w:lvlText w:val=""/>
      <w:lvlJc w:val="left"/>
      <w:pPr>
        <w:ind w:left="0" w:firstLine="0"/>
      </w:pPr>
      <w:rPr>
        <w:rFonts w:hint="eastAsia"/>
      </w:rPr>
    </w:lvl>
    <w:lvl w:ilvl="7">
      <w:start w:val="1"/>
      <w:numFmt w:val="decimal"/>
      <w:pStyle w:val="884"/>
      <w:isLgl w:val="false"/>
      <w:suff w:val="nothing"/>
      <w:lvlText w:val=""/>
      <w:lvlJc w:val="left"/>
      <w:pPr>
        <w:ind w:left="0" w:firstLine="0"/>
      </w:pPr>
      <w:rPr>
        <w:rFonts w:hint="eastAsia"/>
      </w:rPr>
    </w:lvl>
    <w:lvl w:ilvl="8">
      <w:start w:val="1"/>
      <w:numFmt w:val="decimal"/>
      <w:pStyle w:val="885"/>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2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9"/>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30"/>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31"/>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2"/>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3"/>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5"/>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6"/>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纯文本1"/>
    <w:basedOn w:val="688"/>
    <w:link w:val="916"/>
    <w:uiPriority w:val="0"/>
    <w:qFormat/>
    <w:rPr>
      <w:rFonts w:ascii="宋体" w:hAnsi="Courier New" w:eastAsia="宋体" w:cs="Courier New"/>
      <w:szCs w:val="21"/>
    </w:rPr>
  </w:style>
  <w:style w:type="paragraph" w:styleId="701">
    <w:name w:val="toc 7"/>
    <w:basedOn w:val="688"/>
    <w:next w:val="688"/>
    <w:uiPriority w:val="39"/>
    <w:unhideWhenUsed/>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rPr>
  </w:style>
  <w:style w:type="paragraph" w:styleId="703">
    <w:name w:val="annotation text"/>
    <w:basedOn w:val="688"/>
    <w:uiPriority w:val="99"/>
    <w:semiHidden/>
    <w:unhideWhenUsed/>
    <w:pPr>
      <w:jc w:val="left"/>
    </w:pPr>
  </w:style>
  <w:style w:type="paragraph" w:styleId="704">
    <w:name w:val="Body Text Indent"/>
    <w:basedOn w:val="688"/>
    <w:next w:val="705"/>
    <w:uiPriority w:val="0"/>
    <w:unhideWhenUsed/>
    <w:qFormat/>
    <w:pPr>
      <w:ind w:left="420"/>
      <w:spacing w:after="120"/>
    </w:pPr>
  </w:style>
  <w:style w:type="paragraph" w:styleId="705">
    <w:name w:val="envelope return"/>
    <w:basedOn w:val="688"/>
    <w:uiPriority w:val="0"/>
    <w:qFormat/>
    <w:rPr>
      <w:rFonts w:ascii="Arial" w:hAnsi="Arial" w:eastAsia="宋体" w:cs="宋体"/>
    </w:rPr>
  </w:style>
  <w:style w:type="paragraph" w:styleId="706">
    <w:name w:val="toc 5"/>
    <w:basedOn w:val="688"/>
    <w:next w:val="688"/>
    <w:uiPriority w:val="39"/>
    <w:unhideWhenUsed/>
    <w:qFormat/>
    <w:pPr>
      <w:ind w:left="1134" w:right="0" w:firstLine="0"/>
      <w:spacing w:after="57"/>
    </w:pPr>
  </w:style>
  <w:style w:type="paragraph" w:styleId="707">
    <w:name w:val="toc 3"/>
    <w:basedOn w:val="688"/>
    <w:next w:val="688"/>
    <w:uiPriority w:val="39"/>
    <w:unhideWhenUsed/>
    <w:qFormat/>
    <w:pPr>
      <w:ind w:left="567" w:right="0" w:firstLine="0"/>
      <w:spacing w:after="57"/>
    </w:pPr>
  </w:style>
  <w:style w:type="paragraph" w:styleId="708">
    <w:name w:val="Plain Text"/>
    <w:basedOn w:val="688"/>
    <w:uiPriority w:val="0"/>
    <w:qFormat/>
    <w:rPr>
      <w:rFonts w:ascii="宋体" w:hAnsi="Courier New" w:eastAsia="宋体" w:cs="Courier New"/>
      <w:szCs w:val="21"/>
    </w:rPr>
  </w:style>
  <w:style w:type="paragraph" w:styleId="709">
    <w:name w:val="toc 8"/>
    <w:basedOn w:val="688"/>
    <w:next w:val="688"/>
    <w:uiPriority w:val="39"/>
    <w:unhideWhenUsed/>
    <w:qFormat/>
    <w:pPr>
      <w:ind w:left="1984" w:right="0" w:firstLine="0"/>
      <w:spacing w:after="57"/>
    </w:pPr>
  </w:style>
  <w:style w:type="paragraph" w:styleId="710">
    <w:name w:val="endnote text"/>
    <w:basedOn w:val="688"/>
    <w:link w:val="874"/>
    <w:uiPriority w:val="99"/>
    <w:semiHidden/>
    <w:unhideWhenUsed/>
    <w:qFormat/>
    <w:pPr>
      <w:spacing w:after="0" w:line="240" w:lineRule="auto"/>
    </w:pPr>
    <w:rPr>
      <w:sz w:val="20"/>
    </w:rPr>
  </w:style>
  <w:style w:type="paragraph" w:styleId="711">
    <w:name w:val="Footer"/>
    <w:basedOn w:val="688"/>
    <w:link w:val="747"/>
    <w:uiPriority w:val="99"/>
    <w:unhideWhenUsed/>
    <w:qFormat/>
    <w:pPr>
      <w:spacing w:after="0" w:line="240" w:lineRule="auto"/>
      <w:tabs>
        <w:tab w:val="center" w:pos="7143" w:leader="none"/>
        <w:tab w:val="right" w:pos="14287" w:leader="none"/>
      </w:tabs>
    </w:pPr>
  </w:style>
  <w:style w:type="paragraph" w:styleId="712">
    <w:name w:val="Header"/>
    <w:basedOn w:val="688"/>
    <w:link w:val="745"/>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link w:val="740"/>
    <w:uiPriority w:val="11"/>
    <w:qFormat/>
    <w:pPr>
      <w:spacing w:before="200" w:after="200"/>
    </w:pPr>
    <w:rPr>
      <w:sz w:val="24"/>
      <w:szCs w:val="24"/>
    </w:rPr>
  </w:style>
  <w:style w:type="paragraph" w:styleId="716">
    <w:name w:val="footnote text"/>
    <w:basedOn w:val="688"/>
    <w:link w:val="873"/>
    <w:uiPriority w:val="99"/>
    <w:semiHidden/>
    <w:unhideWhenUsed/>
    <w:qFormat/>
    <w:pPr>
      <w:spacing w:after="40" w:line="240" w:lineRule="auto"/>
    </w:pPr>
    <w:rPr>
      <w:sz w:val="18"/>
    </w:rPr>
  </w:style>
  <w:style w:type="paragraph" w:styleId="717">
    <w:name w:val="toc 6"/>
    <w:basedOn w:val="688"/>
    <w:next w:val="688"/>
    <w:uiPriority w:val="39"/>
    <w:unhideWhenUsed/>
    <w:qFormat/>
    <w:pPr>
      <w:ind w:left="1417" w:right="0" w:firstLine="0"/>
      <w:spacing w:after="57"/>
    </w:pPr>
  </w:style>
  <w:style w:type="paragraph" w:styleId="718">
    <w:name w:val="table of figures"/>
    <w:basedOn w:val="688"/>
    <w:next w:val="688"/>
    <w:uiPriority w:val="99"/>
    <w:unhideWhenUsed/>
    <w:qFormat/>
    <w:pPr>
      <w:spacing w:after="0" w:afterAutospacing="0"/>
    </w:pPr>
  </w:style>
  <w:style w:type="paragraph" w:styleId="719">
    <w:name w:val="toc 2"/>
    <w:basedOn w:val="688"/>
    <w:next w:val="688"/>
    <w:uiPriority w:val="39"/>
    <w:unhideWhenUsed/>
    <w:qFormat/>
    <w:pPr>
      <w:ind w:left="283" w:right="0" w:firstLine="0"/>
      <w:spacing w:after="57"/>
    </w:pPr>
  </w:style>
  <w:style w:type="paragraph" w:styleId="720">
    <w:name w:val="toc 9"/>
    <w:basedOn w:val="688"/>
    <w:next w:val="688"/>
    <w:uiPriority w:val="39"/>
    <w:unhideWhenUsed/>
    <w:qFormat/>
    <w:pPr>
      <w:ind w:left="2268" w:right="0" w:firstLine="0"/>
      <w:spacing w:after="57"/>
    </w:pPr>
  </w:style>
  <w:style w:type="paragraph" w:styleId="721">
    <w:name w:val="Normal (Web)"/>
    <w:basedOn w:val="688"/>
    <w:uiPriority w:val="99"/>
    <w:semiHidden/>
    <w:unhideWhenUsed/>
    <w:qFormat/>
    <w:rPr>
      <w:sz w:val="24"/>
    </w:rPr>
  </w:style>
  <w:style w:type="paragraph" w:styleId="722">
    <w:name w:val="Title"/>
    <w:basedOn w:val="688"/>
    <w:next w:val="688"/>
    <w:link w:val="739"/>
    <w:uiPriority w:val="10"/>
    <w:qFormat/>
    <w:pPr>
      <w:contextualSpacing/>
      <w:spacing w:before="300" w:after="200"/>
    </w:pPr>
    <w:rPr>
      <w:sz w:val="48"/>
      <w:szCs w:val="48"/>
    </w:rPr>
  </w:style>
  <w:style w:type="paragraph" w:styleId="723">
    <w:name w:val="Body Text First Indent 2"/>
    <w:basedOn w:val="704"/>
    <w:next w:val="688"/>
    <w:uiPriority w:val="0"/>
    <w:qFormat/>
    <w:pPr>
      <w:ind w:left="0" w:firstLine="420"/>
      <w:spacing w:after="0" w:line="360" w:lineRule="auto"/>
    </w:pPr>
    <w:rPr>
      <w:rFonts w:ascii="宋体" w:hAnsi="宋体" w:eastAsia="宋体" w:cs="Times New Roman"/>
      <w:szCs w:val="20"/>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rPr>
  </w:style>
  <w:style w:type="character" w:styleId="727">
    <w:name w:val="footnote reference"/>
    <w:uiPriority w:val="99"/>
    <w:unhideWhenUsed/>
    <w:qFormat/>
    <w:rPr>
      <w:vertAlign w:val="superscript"/>
    </w:rPr>
  </w:style>
  <w:style w:type="character" w:styleId="728" w:customStyle="1">
    <w:name w:val="Heading 1 Char"/>
    <w:link w:val="689"/>
    <w:uiPriority w:val="9"/>
    <w:qFormat/>
    <w:rPr>
      <w:rFonts w:ascii="Arial" w:hAnsi="Arial" w:eastAsia="Arial" w:cs="Arial"/>
      <w:sz w:val="40"/>
      <w:szCs w:val="40"/>
    </w:rPr>
  </w:style>
  <w:style w:type="character" w:styleId="729" w:customStyle="1">
    <w:name w:val="Heading 2 Char"/>
    <w:link w:val="690"/>
    <w:uiPriority w:val="9"/>
    <w:qFormat/>
    <w:rPr>
      <w:rFonts w:ascii="Arial" w:hAnsi="Arial" w:eastAsia="Arial" w:cs="Arial"/>
      <w:sz w:val="34"/>
    </w:rPr>
  </w:style>
  <w:style w:type="character" w:styleId="730" w:customStyle="1">
    <w:name w:val="Heading 3 Char"/>
    <w:link w:val="691"/>
    <w:uiPriority w:val="9"/>
    <w:qFormat/>
    <w:rPr>
      <w:rFonts w:ascii="Arial" w:hAnsi="Arial" w:eastAsia="Arial" w:cs="Arial"/>
      <w:sz w:val="30"/>
      <w:szCs w:val="30"/>
    </w:rPr>
  </w:style>
  <w:style w:type="character" w:styleId="731" w:customStyle="1">
    <w:name w:val="Heading 4 Char"/>
    <w:link w:val="692"/>
    <w:uiPriority w:val="9"/>
    <w:qFormat/>
    <w:rPr>
      <w:rFonts w:ascii="Arial" w:hAnsi="Arial" w:eastAsia="Arial" w:cs="Arial"/>
      <w:b/>
      <w:bCs/>
      <w:sz w:val="26"/>
      <w:szCs w:val="26"/>
    </w:rPr>
  </w:style>
  <w:style w:type="character" w:styleId="732" w:customStyle="1">
    <w:name w:val="Heading 5 Char"/>
    <w:link w:val="693"/>
    <w:uiPriority w:val="9"/>
    <w:qFormat/>
    <w:rPr>
      <w:rFonts w:ascii="Arial" w:hAnsi="Arial" w:eastAsia="Arial" w:cs="Arial"/>
      <w:b/>
      <w:bCs/>
      <w:sz w:val="24"/>
      <w:szCs w:val="24"/>
    </w:rPr>
  </w:style>
  <w:style w:type="character" w:styleId="733" w:customStyle="1">
    <w:name w:val="Heading 6 Char"/>
    <w:link w:val="694"/>
    <w:uiPriority w:val="9"/>
    <w:qFormat/>
    <w:rPr>
      <w:rFonts w:ascii="Arial" w:hAnsi="Arial" w:eastAsia="Arial" w:cs="Arial"/>
      <w:b/>
      <w:bCs/>
      <w:sz w:val="22"/>
      <w:szCs w:val="22"/>
    </w:rPr>
  </w:style>
  <w:style w:type="character" w:styleId="734" w:customStyle="1">
    <w:name w:val="Heading 7 Char"/>
    <w:link w:val="695"/>
    <w:uiPriority w:val="9"/>
    <w:qFormat/>
    <w:rPr>
      <w:rFonts w:ascii="Arial" w:hAnsi="Arial" w:eastAsia="Arial" w:cs="Arial"/>
      <w:b/>
      <w:bCs/>
      <w:i/>
      <w:iCs/>
      <w:sz w:val="22"/>
      <w:szCs w:val="22"/>
    </w:rPr>
  </w:style>
  <w:style w:type="character" w:styleId="735" w:customStyle="1">
    <w:name w:val="Heading 8 Char"/>
    <w:link w:val="696"/>
    <w:uiPriority w:val="9"/>
    <w:qFormat/>
    <w:rPr>
      <w:rFonts w:ascii="Arial" w:hAnsi="Arial" w:eastAsia="Arial" w:cs="Arial"/>
      <w:i/>
      <w:iCs/>
      <w:sz w:val="22"/>
      <w:szCs w:val="22"/>
    </w:rPr>
  </w:style>
  <w:style w:type="character" w:styleId="736" w:customStyle="1">
    <w:name w:val="Heading 9 Char"/>
    <w:link w:val="697"/>
    <w:uiPriority w:val="9"/>
    <w:qFormat/>
    <w:rPr>
      <w:rFonts w:ascii="Arial" w:hAnsi="Arial" w:eastAsia="Arial" w:cs="Arial"/>
      <w:i/>
      <w:iCs/>
      <w:sz w:val="21"/>
      <w:szCs w:val="21"/>
    </w:rPr>
  </w:style>
  <w:style w:type="paragraph" w:styleId="737">
    <w:name w:val="List Paragraph"/>
    <w:basedOn w:val="688"/>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22"/>
    <w:uiPriority w:val="10"/>
    <w:qFormat/>
    <w:rPr>
      <w:sz w:val="48"/>
      <w:szCs w:val="48"/>
    </w:rPr>
  </w:style>
  <w:style w:type="character" w:styleId="740" w:customStyle="1">
    <w:name w:val="Subtitle Char"/>
    <w:link w:val="715"/>
    <w:uiPriority w:val="11"/>
    <w:qFormat/>
    <w:rPr>
      <w:sz w:val="24"/>
      <w:szCs w:val="24"/>
    </w:rPr>
  </w:style>
  <w:style w:type="paragraph" w:styleId="741">
    <w:name w:val="Quote"/>
    <w:basedOn w:val="688"/>
    <w:next w:val="688"/>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8"/>
    <w:next w:val="688"/>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2"/>
    <w:uiPriority w:val="99"/>
    <w:qFormat/>
  </w:style>
  <w:style w:type="character" w:styleId="746" w:customStyle="1">
    <w:name w:val="Footer Char"/>
    <w:link w:val="711"/>
    <w:uiPriority w:val="99"/>
    <w:qFormat/>
  </w:style>
  <w:style w:type="character" w:styleId="747" w:customStyle="1">
    <w:name w:val="Caption Char"/>
    <w:link w:val="711"/>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6"/>
    <w:uiPriority w:val="99"/>
    <w:rPr>
      <w:sz w:val="18"/>
    </w:rPr>
  </w:style>
  <w:style w:type="character" w:styleId="874" w:customStyle="1">
    <w:name w:val="Endnote Text Char"/>
    <w:link w:val="710"/>
    <w:uiPriority w:val="99"/>
    <w:qFormat/>
    <w:rPr>
      <w:sz w:val="20"/>
    </w:rPr>
  </w:style>
  <w:style w:type="paragraph" w:styleId="875" w:customStyle="1">
    <w:name w:val="TOC Heading"/>
    <w:uiPriority w:val="39"/>
    <w:unhideWhenUsed/>
    <w:rPr>
      <w:rFonts w:hint="default" w:ascii="Times New Roman" w:hAnsi="Times New Roman" w:eastAsia="宋体" w:cs="Times New Roman"/>
    </w:rPr>
  </w:style>
  <w:style w:type="paragraph" w:styleId="876" w:customStyle="1">
    <w:name w:val="标题 11"/>
    <w:basedOn w:val="688"/>
    <w:next w:val="688"/>
    <w:link w:val="889"/>
    <w:uiPriority w:val="0"/>
    <w:qFormat/>
    <w:pPr>
      <w:jc w:val="center"/>
      <w:keepNext/>
      <w:outlineLvl w:val="0"/>
    </w:pPr>
    <w:rPr>
      <w:rFonts w:ascii="楷体_GB2312" w:hAnsi="Times New Roman" w:eastAsia="楷体_GB2312" w:cs="Times New Roman"/>
      <w:sz w:val="28"/>
      <w:szCs w:val="28"/>
    </w:rPr>
  </w:style>
  <w:style w:type="paragraph" w:styleId="877" w:customStyle="1">
    <w:name w:val="标题 21"/>
    <w:basedOn w:val="688"/>
    <w:next w:val="878"/>
    <w:link w:val="8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8" w:customStyle="1">
    <w:name w:val="正文缩进1"/>
    <w:basedOn w:val="688"/>
    <w:link w:val="891"/>
    <w:uiPriority w:val="0"/>
    <w:qFormat/>
    <w:pPr>
      <w:ind w:firstLine="420"/>
    </w:pPr>
    <w:rPr>
      <w:szCs w:val="21"/>
    </w:rPr>
  </w:style>
  <w:style w:type="paragraph" w:styleId="879" w:customStyle="1">
    <w:name w:val="标题 31"/>
    <w:basedOn w:val="688"/>
    <w:next w:val="878"/>
    <w:link w:val="89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0" w:customStyle="1">
    <w:name w:val="标题 41"/>
    <w:basedOn w:val="688"/>
    <w:next w:val="878"/>
    <w:link w:val="893"/>
    <w:uiPriority w:val="0"/>
    <w:qFormat/>
    <w:pPr>
      <w:keepLines/>
      <w:keepNext/>
      <w:spacing w:before="280" w:after="290" w:line="376" w:lineRule="auto"/>
      <w:outlineLvl w:val="3"/>
    </w:pPr>
    <w:rPr>
      <w:rFonts w:ascii="Arial" w:hAnsi="Arial" w:eastAsia="黑体" w:cs="Arial"/>
      <w:b/>
      <w:bCs/>
      <w:sz w:val="28"/>
      <w:szCs w:val="28"/>
    </w:rPr>
  </w:style>
  <w:style w:type="paragraph" w:styleId="881" w:customStyle="1">
    <w:name w:val="标题 51"/>
    <w:basedOn w:val="688"/>
    <w:next w:val="878"/>
    <w:link w:val="894"/>
    <w:uiPriority w:val="0"/>
    <w:qFormat/>
    <w:pPr>
      <w:keepNext/>
      <w:outlineLvl w:val="4"/>
    </w:pPr>
    <w:rPr>
      <w:rFonts w:ascii="宋体" w:hAnsi="Times New Roman" w:eastAsia="宋体" w:cs="Times New Roman"/>
      <w:color w:val="000000"/>
      <w:sz w:val="28"/>
      <w:szCs w:val="28"/>
    </w:rPr>
  </w:style>
  <w:style w:type="paragraph" w:styleId="882" w:customStyle="1">
    <w:name w:val="标题 61"/>
    <w:basedOn w:val="688"/>
    <w:next w:val="688"/>
    <w:link w:val="89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3" w:customStyle="1">
    <w:name w:val="标题 71"/>
    <w:basedOn w:val="688"/>
    <w:next w:val="688"/>
    <w:link w:val="89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4" w:customStyle="1">
    <w:name w:val="标题 81"/>
    <w:basedOn w:val="688"/>
    <w:next w:val="688"/>
    <w:link w:val="89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5" w:customStyle="1">
    <w:name w:val="标题 91"/>
    <w:basedOn w:val="688"/>
    <w:next w:val="688"/>
    <w:link w:val="89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6" w:customStyle="1">
    <w:name w:val="默认段落字体111"/>
    <w:link w:val="688"/>
    <w:uiPriority w:val="1"/>
    <w:unhideWhenUsed/>
    <w:qFormat/>
  </w:style>
  <w:style w:type="table" w:styleId="887" w:customStyle="1">
    <w:name w:val="普通表格11"/>
    <w:uiPriority w:val="99"/>
    <w:unhideWhenUsed/>
    <w:qFormat/>
    <w:tblPr/>
  </w:style>
  <w:style w:type="paragraph" w:styleId="888" w:customStyle="1">
    <w:name w:val="索引 41"/>
    <w:basedOn w:val="688"/>
    <w:next w:val="688"/>
    <w:uiPriority w:val="0"/>
    <w:semiHidden/>
    <w:qFormat/>
    <w:pPr>
      <w:ind w:left="1260"/>
    </w:pPr>
    <w:rPr>
      <w:rFonts w:ascii="Calibri" w:hAnsi="Calibri" w:eastAsia="Calibri" w:cs="宋体"/>
      <w:sz w:val="20"/>
      <w:lang w:val="zh-CN"/>
    </w:rPr>
  </w:style>
  <w:style w:type="character" w:styleId="889" w:customStyle="1">
    <w:name w:val="标题 1 Char"/>
    <w:link w:val="876"/>
    <w:uiPriority w:val="0"/>
    <w:qFormat/>
    <w:rPr>
      <w:rFonts w:ascii="楷体_GB2312" w:hAnsi="Times New Roman" w:eastAsia="楷体_GB2312" w:cs="Times New Roman"/>
      <w:sz w:val="28"/>
      <w:szCs w:val="28"/>
    </w:rPr>
  </w:style>
  <w:style w:type="character" w:styleId="890" w:customStyle="1">
    <w:name w:val="标题 2 Char"/>
    <w:link w:val="877"/>
    <w:uiPriority w:val="0"/>
    <w:qFormat/>
    <w:rPr>
      <w:rFonts w:ascii="Arial" w:hAnsi="Arial" w:eastAsia="幼圆" w:cs="Arial"/>
      <w:b/>
      <w:bCs/>
      <w:sz w:val="44"/>
      <w:szCs w:val="44"/>
    </w:rPr>
  </w:style>
  <w:style w:type="character" w:styleId="891" w:customStyle="1">
    <w:name w:val="正文缩进 Char"/>
    <w:link w:val="878"/>
    <w:uiPriority w:val="0"/>
    <w:qFormat/>
    <w:rPr>
      <w:szCs w:val="21"/>
    </w:rPr>
  </w:style>
  <w:style w:type="character" w:styleId="892" w:customStyle="1">
    <w:name w:val="标题 3 Char"/>
    <w:link w:val="879"/>
    <w:uiPriority w:val="0"/>
    <w:qFormat/>
    <w:rPr>
      <w:rFonts w:ascii="Times New Roman" w:hAnsi="Times New Roman" w:eastAsia="宋体" w:cs="Times New Roman"/>
      <w:b/>
      <w:bCs/>
      <w:sz w:val="32"/>
      <w:szCs w:val="32"/>
    </w:rPr>
  </w:style>
  <w:style w:type="character" w:styleId="893" w:customStyle="1">
    <w:name w:val="标题 4 Char"/>
    <w:link w:val="880"/>
    <w:uiPriority w:val="0"/>
    <w:qFormat/>
    <w:rPr>
      <w:rFonts w:ascii="Arial" w:hAnsi="Arial" w:eastAsia="黑体" w:cs="Arial"/>
      <w:b/>
      <w:bCs/>
      <w:sz w:val="28"/>
      <w:szCs w:val="28"/>
    </w:rPr>
  </w:style>
  <w:style w:type="character" w:styleId="894" w:customStyle="1">
    <w:name w:val="标题 5 Char"/>
    <w:link w:val="881"/>
    <w:uiPriority w:val="0"/>
    <w:rPr>
      <w:rFonts w:ascii="宋体" w:hAnsi="Times New Roman" w:eastAsia="宋体" w:cs="Times New Roman"/>
      <w:color w:val="000000"/>
      <w:sz w:val="28"/>
      <w:szCs w:val="28"/>
    </w:rPr>
  </w:style>
  <w:style w:type="character" w:styleId="895" w:customStyle="1">
    <w:name w:val="标题 6 Char"/>
    <w:link w:val="882"/>
    <w:uiPriority w:val="0"/>
    <w:rPr>
      <w:rFonts w:ascii="Arial" w:hAnsi="Arial" w:eastAsia="黑体" w:cs="Times New Roman"/>
      <w:b/>
      <w:bCs/>
      <w:sz w:val="24"/>
      <w:szCs w:val="24"/>
    </w:rPr>
  </w:style>
  <w:style w:type="character" w:styleId="896" w:customStyle="1">
    <w:name w:val="标题 7 Char"/>
    <w:link w:val="883"/>
    <w:uiPriority w:val="0"/>
    <w:rPr>
      <w:rFonts w:ascii="Times New Roman" w:hAnsi="Times New Roman" w:eastAsia="宋体" w:cs="Times New Roman"/>
      <w:b/>
      <w:bCs/>
      <w:sz w:val="24"/>
      <w:szCs w:val="24"/>
    </w:rPr>
  </w:style>
  <w:style w:type="character" w:styleId="897" w:customStyle="1">
    <w:name w:val="标题 8 Char"/>
    <w:link w:val="884"/>
    <w:uiPriority w:val="0"/>
    <w:rPr>
      <w:rFonts w:ascii="Arial" w:hAnsi="Arial" w:eastAsia="黑体" w:cs="Times New Roman"/>
      <w:sz w:val="24"/>
      <w:szCs w:val="24"/>
    </w:rPr>
  </w:style>
  <w:style w:type="character" w:styleId="898" w:customStyle="1">
    <w:name w:val="标题 9 Char"/>
    <w:link w:val="885"/>
    <w:uiPriority w:val="0"/>
    <w:rPr>
      <w:rFonts w:ascii="Arial" w:hAnsi="Arial" w:eastAsia="黑体" w:cs="Times New Roman"/>
      <w:szCs w:val="21"/>
    </w:rPr>
  </w:style>
  <w:style w:type="paragraph" w:styleId="899" w:customStyle="1">
    <w:name w:val="列表 31"/>
    <w:basedOn w:val="688"/>
    <w:uiPriority w:val="0"/>
    <w:pPr>
      <w:ind w:left="100" w:hanging="200"/>
    </w:pPr>
    <w:rPr>
      <w:rFonts w:ascii="Times New Roman" w:hAnsi="Times New Roman" w:eastAsia="宋体" w:cs="Times New Roman"/>
      <w:szCs w:val="21"/>
    </w:rPr>
  </w:style>
  <w:style w:type="paragraph" w:styleId="900"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901" w:customStyle="1">
    <w:name w:val="文档结构图1"/>
    <w:basedOn w:val="688"/>
    <w:link w:val="902"/>
    <w:uiPriority w:val="0"/>
    <w:semiHidden/>
    <w:pPr>
      <w:shd w:val="clear" w:color="auto" w:fill="000080"/>
    </w:pPr>
    <w:rPr>
      <w:rFonts w:ascii="Times New Roman" w:hAnsi="Times New Roman" w:eastAsia="宋体" w:cs="Times New Roman"/>
      <w:szCs w:val="21"/>
    </w:rPr>
  </w:style>
  <w:style w:type="character" w:styleId="902" w:customStyle="1">
    <w:name w:val="文档结构图 Char"/>
    <w:link w:val="901"/>
    <w:uiPriority w:val="0"/>
    <w:semiHidden/>
    <w:qFormat/>
    <w:rPr>
      <w:rFonts w:ascii="Times New Roman" w:hAnsi="Times New Roman" w:eastAsia="宋体" w:cs="Times New Roman"/>
      <w:szCs w:val="21"/>
      <w:shd w:val="clear" w:color="auto" w:fill="000080"/>
    </w:rPr>
  </w:style>
  <w:style w:type="paragraph" w:styleId="903" w:customStyle="1">
    <w:name w:val="批注文字1"/>
    <w:basedOn w:val="688"/>
    <w:link w:val="904"/>
    <w:uiPriority w:val="0"/>
    <w:unhideWhenUsed/>
    <w:pPr>
      <w:jc w:val="left"/>
    </w:pPr>
  </w:style>
  <w:style w:type="character" w:styleId="904" w:customStyle="1">
    <w:name w:val="批注文字 Char"/>
    <w:basedOn w:val="886"/>
    <w:link w:val="903"/>
    <w:uiPriority w:val="99"/>
    <w:semiHidden/>
    <w:qFormat/>
  </w:style>
  <w:style w:type="paragraph" w:styleId="905" w:customStyle="1">
    <w:name w:val="正文文本 31"/>
    <w:basedOn w:val="688"/>
    <w:link w:val="906"/>
    <w:uiPriority w:val="0"/>
    <w:qFormat/>
    <w:rPr>
      <w:rFonts w:ascii="仿宋_GB2312" w:hAnsi="Arial" w:eastAsia="仿宋_GB2312" w:cs="Times New Roman"/>
      <w:sz w:val="32"/>
      <w:szCs w:val="32"/>
    </w:rPr>
  </w:style>
  <w:style w:type="character" w:styleId="906" w:customStyle="1">
    <w:name w:val="正文文本 3 Char"/>
    <w:link w:val="905"/>
    <w:uiPriority w:val="0"/>
    <w:qFormat/>
    <w:rPr>
      <w:rFonts w:ascii="仿宋_GB2312" w:hAnsi="Arial" w:eastAsia="仿宋_GB2312" w:cs="Times New Roman"/>
      <w:sz w:val="32"/>
      <w:szCs w:val="32"/>
    </w:rPr>
  </w:style>
  <w:style w:type="paragraph" w:styleId="907" w:customStyle="1">
    <w:name w:val="正文文本11"/>
    <w:basedOn w:val="688"/>
    <w:link w:val="908"/>
    <w:uiPriority w:val="0"/>
    <w:qFormat/>
    <w:rPr>
      <w:rFonts w:ascii="楷体_GB2312" w:hAnsi="Arial" w:eastAsia="楷体_GB2312" w:cs="Times New Roman"/>
      <w:sz w:val="28"/>
      <w:szCs w:val="28"/>
    </w:rPr>
  </w:style>
  <w:style w:type="character" w:styleId="908" w:customStyle="1">
    <w:name w:val="正文文本 Char"/>
    <w:link w:val="907"/>
    <w:uiPriority w:val="0"/>
    <w:qFormat/>
    <w:rPr>
      <w:rFonts w:ascii="楷体_GB2312" w:hAnsi="Arial" w:eastAsia="楷体_GB2312" w:cs="Times New Roman"/>
      <w:sz w:val="28"/>
      <w:szCs w:val="28"/>
    </w:rPr>
  </w:style>
  <w:style w:type="paragraph" w:styleId="909" w:customStyle="1">
    <w:name w:val="正文文本缩进11"/>
    <w:basedOn w:val="688"/>
    <w:next w:val="910"/>
    <w:link w:val="911"/>
    <w:uiPriority w:val="0"/>
    <w:unhideWhenUsed/>
    <w:qFormat/>
    <w:pPr>
      <w:ind w:left="420"/>
      <w:spacing w:after="120"/>
    </w:pPr>
  </w:style>
  <w:style w:type="paragraph" w:styleId="910" w:customStyle="1">
    <w:name w:val="正文首行缩进 21"/>
    <w:basedOn w:val="909"/>
    <w:next w:val="688"/>
    <w:link w:val="912"/>
    <w:uiPriority w:val="0"/>
    <w:qFormat/>
    <w:pPr>
      <w:ind w:left="0" w:firstLine="420"/>
      <w:spacing w:after="0" w:line="360" w:lineRule="auto"/>
    </w:pPr>
    <w:rPr>
      <w:rFonts w:ascii="宋体" w:hAnsi="宋体" w:eastAsia="宋体" w:cs="Times New Roman"/>
      <w:szCs w:val="20"/>
    </w:rPr>
  </w:style>
  <w:style w:type="character" w:styleId="911" w:customStyle="1">
    <w:name w:val="正文文本缩进 Char"/>
    <w:basedOn w:val="886"/>
    <w:link w:val="909"/>
    <w:uiPriority w:val="99"/>
    <w:semiHidden/>
    <w:qFormat/>
  </w:style>
  <w:style w:type="character" w:styleId="912" w:customStyle="1">
    <w:name w:val="正文首行缩进 2 Char"/>
    <w:link w:val="910"/>
    <w:uiPriority w:val="0"/>
    <w:qFormat/>
    <w:rPr>
      <w:rFonts w:ascii="宋体" w:hAnsi="宋体" w:eastAsia="宋体" w:cs="Times New Roman"/>
      <w:szCs w:val="20"/>
    </w:rPr>
  </w:style>
  <w:style w:type="paragraph" w:styleId="913" w:customStyle="1">
    <w:name w:val="列表 21"/>
    <w:basedOn w:val="688"/>
    <w:uiPriority w:val="0"/>
    <w:qFormat/>
    <w:pPr>
      <w:ind w:left="100" w:hanging="200"/>
    </w:pPr>
    <w:rPr>
      <w:rFonts w:ascii="Times New Roman" w:hAnsi="Times New Roman" w:eastAsia="宋体" w:cs="Times New Roman"/>
      <w:szCs w:val="21"/>
    </w:rPr>
  </w:style>
  <w:style w:type="paragraph" w:styleId="914"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15" w:customStyle="1">
    <w:name w:val="目录 31"/>
    <w:basedOn w:val="688"/>
    <w:next w:val="688"/>
    <w:uiPriority w:val="0"/>
    <w:semiHidden/>
    <w:qFormat/>
    <w:pPr>
      <w:ind w:left="420"/>
      <w:jc w:val="left"/>
    </w:pPr>
    <w:rPr>
      <w:rFonts w:ascii="Times New Roman" w:hAnsi="Times New Roman" w:eastAsia="宋体" w:cs="Times New Roman"/>
      <w:i/>
      <w:iCs/>
      <w:szCs w:val="24"/>
    </w:rPr>
  </w:style>
  <w:style w:type="character" w:styleId="916" w:customStyle="1">
    <w:name w:val="纯文本 Char"/>
    <w:link w:val="700"/>
    <w:uiPriority w:val="0"/>
    <w:qFormat/>
    <w:rPr>
      <w:rFonts w:ascii="宋体" w:hAnsi="Courier New" w:eastAsia="宋体" w:cs="Courier New"/>
      <w:szCs w:val="21"/>
    </w:rPr>
  </w:style>
  <w:style w:type="paragraph" w:styleId="917"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18" w:customStyle="1">
    <w:name w:val="日期1"/>
    <w:basedOn w:val="688"/>
    <w:next w:val="688"/>
    <w:link w:val="919"/>
    <w:uiPriority w:val="0"/>
    <w:qFormat/>
    <w:rPr>
      <w:rFonts w:ascii="Times New Roman" w:hAnsi="Times New Roman" w:eastAsia="宋体" w:cs="Times New Roman"/>
      <w:sz w:val="24"/>
      <w:szCs w:val="24"/>
    </w:rPr>
  </w:style>
  <w:style w:type="character" w:styleId="919" w:customStyle="1">
    <w:name w:val="日期 Char"/>
    <w:link w:val="918"/>
    <w:uiPriority w:val="0"/>
    <w:qFormat/>
    <w:rPr>
      <w:rFonts w:ascii="Times New Roman" w:hAnsi="Times New Roman" w:eastAsia="宋体" w:cs="Times New Roman"/>
      <w:sz w:val="24"/>
      <w:szCs w:val="24"/>
    </w:rPr>
  </w:style>
  <w:style w:type="paragraph" w:styleId="920" w:customStyle="1">
    <w:name w:val="正文文本缩进 21"/>
    <w:basedOn w:val="688"/>
    <w:link w:val="921"/>
    <w:uiPriority w:val="0"/>
    <w:qFormat/>
    <w:pPr>
      <w:ind w:left="630" w:firstLine="645"/>
    </w:pPr>
    <w:rPr>
      <w:rFonts w:ascii="Arial" w:hAnsi="Arial" w:eastAsia="仿宋_GB2312" w:cs="Arial"/>
      <w:sz w:val="32"/>
      <w:szCs w:val="32"/>
    </w:rPr>
  </w:style>
  <w:style w:type="character" w:styleId="921" w:customStyle="1">
    <w:name w:val="正文文本缩进 2 Char"/>
    <w:link w:val="920"/>
    <w:uiPriority w:val="0"/>
    <w:qFormat/>
    <w:rPr>
      <w:rFonts w:ascii="Arial" w:hAnsi="Arial" w:eastAsia="仿宋_GB2312" w:cs="Arial"/>
      <w:sz w:val="32"/>
      <w:szCs w:val="32"/>
    </w:rPr>
  </w:style>
  <w:style w:type="paragraph" w:styleId="922" w:customStyle="1">
    <w:name w:val="批注框文本1"/>
    <w:basedOn w:val="688"/>
    <w:link w:val="923"/>
    <w:uiPriority w:val="0"/>
    <w:semiHidden/>
    <w:qFormat/>
    <w:rPr>
      <w:rFonts w:ascii="Times New Roman" w:hAnsi="Times New Roman" w:eastAsia="宋体" w:cs="Times New Roman"/>
      <w:sz w:val="18"/>
      <w:szCs w:val="18"/>
    </w:rPr>
  </w:style>
  <w:style w:type="character" w:styleId="923" w:customStyle="1">
    <w:name w:val="批注框文本 Char"/>
    <w:link w:val="922"/>
    <w:uiPriority w:val="0"/>
    <w:semiHidden/>
    <w:qFormat/>
    <w:rPr>
      <w:rFonts w:ascii="Times New Roman" w:hAnsi="Times New Roman" w:eastAsia="宋体" w:cs="Times New Roman"/>
      <w:sz w:val="18"/>
      <w:szCs w:val="18"/>
    </w:rPr>
  </w:style>
  <w:style w:type="paragraph" w:styleId="924" w:customStyle="1">
    <w:name w:val="页脚1"/>
    <w:basedOn w:val="688"/>
    <w:link w:val="92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5" w:customStyle="1">
    <w:name w:val="页脚 Char"/>
    <w:link w:val="924"/>
    <w:uiPriority w:val="0"/>
    <w:qFormat/>
    <w:rPr>
      <w:rFonts w:ascii="Times New Roman" w:hAnsi="Times New Roman" w:eastAsia="宋体" w:cs="Times New Roman"/>
      <w:sz w:val="18"/>
      <w:szCs w:val="18"/>
    </w:rPr>
  </w:style>
  <w:style w:type="paragraph" w:styleId="926" w:customStyle="1">
    <w:name w:val="寄信人地址1"/>
    <w:basedOn w:val="688"/>
    <w:uiPriority w:val="0"/>
    <w:qFormat/>
    <w:rPr>
      <w:rFonts w:ascii="Arial" w:hAnsi="Arial" w:eastAsia="宋体" w:cs="宋体"/>
    </w:rPr>
  </w:style>
  <w:style w:type="paragraph" w:styleId="927" w:customStyle="1">
    <w:name w:val="页眉1"/>
    <w:basedOn w:val="688"/>
    <w:link w:val="92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31" w:customStyle="1">
    <w:name w:val="列表1"/>
    <w:basedOn w:val="688"/>
    <w:uiPriority w:val="0"/>
    <w:qFormat/>
    <w:pPr>
      <w:ind w:left="200" w:hanging="200"/>
    </w:pPr>
    <w:rPr>
      <w:rFonts w:ascii="Times New Roman" w:hAnsi="Times New Roman" w:eastAsia="宋体" w:cs="Times New Roman"/>
      <w:szCs w:val="21"/>
    </w:rPr>
  </w:style>
  <w:style w:type="paragraph" w:styleId="932"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33" w:customStyle="1">
    <w:name w:val="正文文本缩进 31"/>
    <w:basedOn w:val="688"/>
    <w:link w:val="934"/>
    <w:uiPriority w:val="0"/>
    <w:qFormat/>
    <w:pPr>
      <w:ind w:left="645" w:firstLine="645"/>
    </w:pPr>
    <w:rPr>
      <w:rFonts w:ascii="Arial" w:hAnsi="Arial" w:eastAsia="仿宋_GB2312" w:cs="Arial"/>
      <w:color w:val="ffff00"/>
      <w:sz w:val="32"/>
      <w:szCs w:val="32"/>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6"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7"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8" w:customStyle="1">
    <w:name w:val="正文文本 21"/>
    <w:basedOn w:val="688"/>
    <w:link w:val="939"/>
    <w:uiPriority w:val="0"/>
    <w:qFormat/>
    <w:pPr>
      <w:jc w:val="center"/>
      <w:widowControl/>
    </w:pPr>
    <w:rPr>
      <w:rFonts w:ascii="楷体_GB2312" w:hAnsi="Times New Roman" w:eastAsia="楷体_GB2312" w:cs="Times New Roman"/>
      <w:sz w:val="28"/>
      <w:szCs w:val="28"/>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42" w:customStyle="1">
    <w:name w:val="批注主题1"/>
    <w:basedOn w:val="903"/>
    <w:next w:val="903"/>
    <w:link w:val="943"/>
    <w:uiPriority w:val="0"/>
    <w:semiHidden/>
    <w:qFormat/>
    <w:rPr>
      <w:rFonts w:ascii="Times New Roman" w:hAnsi="Times New Roman" w:eastAsia="宋体" w:cs="Times New Roman"/>
      <w:b/>
      <w:bCs/>
      <w:szCs w:val="21"/>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11"/>
    <w:basedOn w:val="688"/>
    <w:link w:val="945"/>
    <w:uiPriority w:val="0"/>
    <w:qFormat/>
    <w:pPr>
      <w:ind w:firstLine="200"/>
      <w:spacing w:line="360" w:lineRule="auto"/>
    </w:pPr>
    <w:rPr>
      <w:rFonts w:ascii="仿宋_GB2312" w:hAnsi="Times New Roman" w:eastAsia="仿宋_GB2312" w:cs="Times New Roman"/>
      <w:sz w:val="30"/>
      <w:szCs w:val="30"/>
    </w:rPr>
  </w:style>
  <w:style w:type="character" w:styleId="945" w:customStyle="1">
    <w:name w:val="正文首行缩进 Char"/>
    <w:link w:val="944"/>
    <w:uiPriority w:val="0"/>
    <w:qFormat/>
    <w:rPr>
      <w:rFonts w:ascii="仿宋_GB2312" w:hAnsi="Times New Roman" w:eastAsia="仿宋_GB2312" w:cs="Times New Roman"/>
      <w:sz w:val="30"/>
      <w:szCs w:val="30"/>
    </w:rPr>
  </w:style>
  <w:style w:type="table" w:styleId="946" w:customStyle="1">
    <w:name w:val="网格型11"/>
    <w:basedOn w:val="887"/>
    <w:uiPriority w:val="0"/>
    <w:qFormat/>
    <w:pPr>
      <w:jc w:val="both"/>
      <w:widowControl w:val="off"/>
    </w:pPr>
    <w:rPr>
      <w:rFonts w:ascii="Times New Roman" w:hAnsi="Times New Roman" w:eastAsia="宋体" w:cs="Times New Roman"/>
      <w:sz w:val="20"/>
      <w:szCs w:val="20"/>
    </w:rPr>
    <w:tblPr/>
  </w:style>
  <w:style w:type="character" w:styleId="947" w:customStyle="1">
    <w:name w:val="要点1"/>
    <w:link w:val="688"/>
    <w:uiPriority w:val="0"/>
    <w:qFormat/>
    <w:rPr>
      <w:b/>
      <w:bCs/>
    </w:rPr>
  </w:style>
  <w:style w:type="character" w:styleId="948" w:customStyle="1">
    <w:name w:val="页码1"/>
    <w:link w:val="688"/>
    <w:uiPriority w:val="0"/>
    <w:qFormat/>
  </w:style>
  <w:style w:type="character" w:styleId="949" w:customStyle="1">
    <w:name w:val="已访问的超链接1"/>
    <w:link w:val="688"/>
    <w:uiPriority w:val="0"/>
    <w:qFormat/>
    <w:rPr>
      <w:color w:val="800080"/>
      <w:u w:val="single"/>
    </w:rPr>
  </w:style>
  <w:style w:type="character" w:styleId="950" w:customStyle="1">
    <w:name w:val="超链接1"/>
    <w:link w:val="688"/>
    <w:uiPriority w:val="0"/>
    <w:rPr>
      <w:color w:val="0000ff"/>
      <w:u w:val="single"/>
    </w:rPr>
  </w:style>
  <w:style w:type="character" w:styleId="951" w:customStyle="1">
    <w:name w:val="批注引用1"/>
    <w:link w:val="688"/>
    <w:uiPriority w:val="0"/>
    <w:semiHidden/>
    <w:qFormat/>
    <w:rPr>
      <w:sz w:val="21"/>
      <w:szCs w:val="21"/>
    </w:rPr>
  </w:style>
  <w:style w:type="character" w:styleId="952" w:customStyle="1">
    <w:name w:val="默认段落字体1"/>
    <w:link w:val="688"/>
    <w:uiPriority w:val="1"/>
    <w:unhideWhenUsed/>
    <w:qFormat/>
    <w:rPr>
      <w:rFonts w:ascii="Times New Roman" w:hAnsi="Times New Roman" w:eastAsia="宋体" w:cs="Times New Roman"/>
      <w:sz w:val="21"/>
      <w:szCs w:val="22"/>
      <w:lang w:val="en-US" w:eastAsia="zh-CN" w:bidi="ar-SA"/>
    </w:rPr>
  </w:style>
  <w:style w:type="paragraph" w:styleId="953" w:customStyle="1">
    <w:name w:val="正文首行缩进1"/>
    <w:basedOn w:val="954"/>
    <w:uiPriority w:val="0"/>
    <w:qFormat/>
    <w:pPr>
      <w:ind w:firstLine="200"/>
      <w:spacing w:line="360" w:lineRule="auto"/>
    </w:pPr>
    <w:rPr>
      <w:rFonts w:ascii="仿宋_GB2312" w:hAnsi="Times New Roman" w:eastAsia="仿宋_GB2312"/>
      <w:sz w:val="30"/>
      <w:szCs w:val="30"/>
    </w:rPr>
  </w:style>
  <w:style w:type="paragraph" w:styleId="954" w:customStyle="1">
    <w:name w:val="正文文本1"/>
    <w:basedOn w:val="688"/>
    <w:next w:val="688"/>
    <w:uiPriority w:val="0"/>
    <w:semiHidden/>
    <w:qFormat/>
    <w:rPr>
      <w:rFonts w:ascii="Arial" w:hAnsi="Arial" w:eastAsia="Arial" w:cs="Arial"/>
      <w:sz w:val="21"/>
      <w:szCs w:val="21"/>
      <w:lang w:val="en-US" w:eastAsia="en-US" w:bidi="ar-SA"/>
    </w:rPr>
  </w:style>
  <w:style w:type="paragraph" w:styleId="955" w:customStyle="1">
    <w:name w:val="列出段落1"/>
    <w:basedOn w:val="688"/>
    <w:link w:val="956"/>
    <w:uiPriority w:val="0"/>
    <w:qFormat/>
    <w:pPr>
      <w:contextualSpacing/>
      <w:ind w:left="720"/>
      <w:jc w:val="left"/>
      <w:widowControl/>
    </w:pPr>
    <w:rPr>
      <w:rFonts w:ascii="Calibri" w:hAnsi="Calibri"/>
      <w:sz w:val="24"/>
      <w:szCs w:val="24"/>
      <w:lang w:eastAsia="en-US" w:bidi="en-US"/>
    </w:rPr>
  </w:style>
  <w:style w:type="character" w:styleId="956" w:customStyle="1">
    <w:name w:val="列出段落 Char"/>
    <w:link w:val="955"/>
    <w:uiPriority w:val="0"/>
    <w:qFormat/>
    <w:rPr>
      <w:rFonts w:ascii="Calibri" w:hAnsi="Calibri"/>
      <w:sz w:val="24"/>
      <w:szCs w:val="24"/>
      <w:lang w:eastAsia="en-US" w:bidi="en-US"/>
    </w:rPr>
  </w:style>
  <w:style w:type="character" w:styleId="957" w:customStyle="1">
    <w:name w:val="font5 Char"/>
    <w:link w:val="688"/>
    <w:uiPriority w:val="0"/>
    <w:qFormat/>
    <w:rPr>
      <w:rFonts w:ascii="宋体" w:hAnsi="宋体" w:eastAsia="宋体"/>
      <w:sz w:val="28"/>
      <w:szCs w:val="28"/>
      <w:lang w:val="en-US" w:eastAsia="zh-CN" w:bidi="ar-SA"/>
    </w:rPr>
  </w:style>
  <w:style w:type="character" w:styleId="958" w:customStyle="1">
    <w:name w:val="二级目录 Char"/>
    <w:link w:val="959"/>
    <w:uiPriority w:val="0"/>
    <w:rPr>
      <w:b/>
      <w:sz w:val="30"/>
      <w:szCs w:val="28"/>
    </w:rPr>
  </w:style>
  <w:style w:type="paragraph" w:styleId="959" w:customStyle="1">
    <w:name w:val="二级目录"/>
    <w:next w:val="688"/>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60" w:customStyle="1">
    <w:name w:val="Body Text(ch)"/>
    <w:basedOn w:val="688"/>
    <w:next w:val="907"/>
    <w:uiPriority w:val="0"/>
    <w:pPr>
      <w:spacing w:after="120"/>
    </w:pPr>
    <w:rPr>
      <w:rFonts w:ascii="宋体" w:hAnsi="Arial" w:eastAsia="宋体" w:cs="Times New Roman"/>
      <w:bCs/>
      <w:iCs/>
      <w:szCs w:val="24"/>
    </w:rPr>
  </w:style>
  <w:style w:type="paragraph" w:styleId="96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901"/>
    <w:uiPriority w:val="0"/>
    <w:qFormat/>
    <w:rPr>
      <w:rFonts w:ascii="Tahoma" w:hAnsi="Tahoma"/>
      <w:sz w:val="24"/>
      <w:szCs w:val="24"/>
    </w:rPr>
  </w:style>
  <w:style w:type="paragraph" w:styleId="965" w:customStyle="1">
    <w:name w:val="普通正文"/>
    <w:basedOn w:val="688"/>
    <w:uiPriority w:val="0"/>
    <w:pPr>
      <w:ind w:firstLine="480"/>
      <w:jc w:val="left"/>
      <w:spacing w:before="120" w:after="120" w:line="360" w:lineRule="auto"/>
    </w:pPr>
    <w:rPr>
      <w:rFonts w:ascii="Arial" w:hAnsi="Arial" w:eastAsia="宋体" w:cs="Times New Roman"/>
      <w:sz w:val="24"/>
      <w:szCs w:val="24"/>
    </w:rPr>
  </w:style>
  <w:style w:type="paragraph" w:styleId="966" w:customStyle="1">
    <w:name w:val="table_lines"/>
    <w:basedOn w:val="688"/>
    <w:uiPriority w:val="0"/>
    <w:pPr>
      <w:jc w:val="left"/>
      <w:widowControl/>
    </w:pPr>
    <w:rPr>
      <w:rFonts w:ascii="Times New Roman" w:hAnsi="Times New Roman" w:eastAsia="宋体" w:cs="Times New Roman"/>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88"/>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9" w:customStyle="1">
    <w:name w:val=" Char Char Char Char"/>
    <w:basedOn w:val="901"/>
    <w:uiPriority w:val="0"/>
    <w:qFormat/>
    <w:pPr>
      <w:spacing w:line="360" w:lineRule="auto"/>
    </w:pPr>
    <w:rPr>
      <w:rFonts w:ascii="Tahoma" w:hAnsi="Tahoma"/>
      <w:sz w:val="24"/>
      <w:szCs w:val="24"/>
    </w:rPr>
  </w:style>
  <w:style w:type="paragraph" w:styleId="970"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4"/>
    <w:basedOn w:val="688"/>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72" w:customStyle="1">
    <w:name w:val="普通 (Web)"/>
    <w:basedOn w:val="688"/>
    <w:uiPriority w:val="0"/>
    <w:pPr>
      <w:jc w:val="left"/>
      <w:spacing w:before="100" w:beforeAutospacing="1" w:after="100" w:afterAutospacing="1"/>
      <w:widowControl/>
    </w:pPr>
    <w:rPr>
      <w:rFonts w:ascii="宋体" w:hAnsi="宋体" w:eastAsia="宋体" w:cs="Times New Roman"/>
      <w:sz w:val="24"/>
      <w:szCs w:val="24"/>
    </w:rPr>
  </w:style>
  <w:style w:type="paragraph" w:styleId="973"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74" w:customStyle="1">
    <w:name w:val="样式1"/>
    <w:basedOn w:val="688"/>
    <w:uiPriority w:val="0"/>
    <w:pPr>
      <w:numPr>
        <w:ilvl w:val="0"/>
        <w:numId w:val="3"/>
      </w:numPr>
    </w:pPr>
    <w:rPr>
      <w:rFonts w:ascii="宋体" w:hAnsi="宋体" w:eastAsia="宋体" w:cs="Times New Roman"/>
      <w:szCs w:val="21"/>
    </w:rPr>
  </w:style>
  <w:style w:type="paragraph" w:styleId="975"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customStyle="1">
    <w:name w:val="xl25"/>
    <w:basedOn w:val="68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79" w:customStyle="1">
    <w:name w:val="xl24"/>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xl29"/>
    <w:basedOn w:val="688"/>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customStyle="1">
    <w:name w:val="Char Char Char Char Char Char Char Char"/>
    <w:basedOn w:val="688"/>
    <w:uiPriority w:val="0"/>
    <w:pPr>
      <w:jc w:val="left"/>
      <w:spacing w:after="160" w:line="240" w:lineRule="exact"/>
      <w:widowControl/>
    </w:pPr>
    <w:rPr>
      <w:rFonts w:ascii="Verdana" w:hAnsi="Verdana" w:eastAsia="宋体" w:cs="Times New Roman"/>
      <w:sz w:val="20"/>
      <w:szCs w:val="20"/>
      <w:lang w:eastAsia="en-US"/>
    </w:rPr>
  </w:style>
  <w:style w:type="paragraph" w:styleId="982" w:customStyle="1">
    <w:name w:val="xl28"/>
    <w:basedOn w:val="68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30"/>
    <w:basedOn w:val="688"/>
    <w:uiPriority w:val="0"/>
    <w:pPr>
      <w:jc w:val="center"/>
      <w:spacing w:before="100" w:beforeAutospacing="1" w:after="100" w:afterAutospacing="1"/>
      <w:widowControl/>
    </w:pPr>
    <w:rPr>
      <w:rFonts w:ascii="宋体" w:hAnsi="宋体" w:eastAsia="宋体" w:cs="Times New Roman"/>
      <w:b/>
      <w:bCs/>
      <w:sz w:val="36"/>
      <w:szCs w:val="36"/>
    </w:rPr>
  </w:style>
  <w:style w:type="paragraph" w:styleId="985" w:customStyle="1">
    <w:name w:val="Char Char Char Char"/>
    <w:basedOn w:val="901"/>
    <w:uiPriority w:val="0"/>
    <w:pPr>
      <w:spacing w:line="360" w:lineRule="auto"/>
    </w:pPr>
    <w:rPr>
      <w:rFonts w:ascii="Tahoma" w:hAnsi="Tahoma"/>
      <w:sz w:val="24"/>
      <w:szCs w:val="24"/>
    </w:rPr>
  </w:style>
  <w:style w:type="paragraph" w:styleId="986" w:customStyle="1">
    <w:name w:val="table_1stline"/>
    <w:basedOn w:val="688"/>
    <w:uiPriority w:val="0"/>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688"/>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688"/>
    <w:next w:val="688"/>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修订"/>
    <w:uiPriority w:val="99"/>
    <w:semiHidden/>
    <w:rPr>
      <w:rFonts w:hint="default" w:ascii="Times New Roman" w:hAnsi="Times New Roman" w:eastAsia="宋体" w:cs="Times New Roman"/>
      <w:sz w:val="21"/>
      <w:szCs w:val="21"/>
      <w:lang w:val="en-US" w:eastAsia="zh-CN" w:bidi="ar-SA"/>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1" w:customStyle="1">
    <w:name w:val="Table Normal"/>
    <w:uiPriority w:val="0"/>
    <w:qFormat/>
    <w:tblPr/>
  </w:style>
  <w:style w:type="paragraph" w:styleId="992" w:customStyle="1">
    <w:name w:val="正文文本12"/>
    <w:basedOn w:val="688"/>
    <w:uiPriority w:val="1"/>
    <w:qFormat/>
    <w:pPr>
      <w:ind w:left="120"/>
    </w:pPr>
    <w:rPr>
      <w:rFonts w:ascii="宋体" w:hAnsi="宋体" w:eastAsia="宋体" w:cs="宋体"/>
      <w:sz w:val="21"/>
      <w:szCs w:val="21"/>
      <w:lang w:val="zh-CN" w:eastAsia="zh-CN" w:bidi="zh-CN"/>
    </w:rPr>
  </w:style>
  <w:style w:type="paragraph" w:styleId="993" w:customStyle="1">
    <w:name w:val="正文文本 211"/>
    <w:basedOn w:val="688"/>
    <w:uiPriority w:val="99"/>
    <w:qFormat/>
    <w:pPr>
      <w:jc w:val="center"/>
    </w:pPr>
    <w:rPr>
      <w:b/>
      <w:bCs/>
      <w:sz w:val="20"/>
      <w:szCs w:val="20"/>
    </w:rPr>
  </w:style>
  <w:style w:type="paragraph" w:styleId="994" w:customStyle="1">
    <w:name w:val="Table Paragraph"/>
    <w:basedOn w:val="688"/>
    <w:uiPriority w:val="1"/>
    <w:qFormat/>
    <w:pPr>
      <w:jc w:val="left"/>
    </w:pPr>
    <w:rPr>
      <w:rFonts w:ascii="宋体" w:hAnsi="宋体" w:eastAsia="宋体" w:cs="宋体"/>
      <w:sz w:val="22"/>
      <w:szCs w:val="22"/>
      <w:lang w:val="zh-CN" w:bidi="zh-CN"/>
    </w:rPr>
  </w:style>
  <w:style w:type="table" w:styleId="995" w:customStyle="1">
    <w:name w:val="网格型1"/>
    <w:basedOn w:val="996"/>
    <w:uiPriority w:val="0"/>
    <w:qFormat/>
    <w:pPr>
      <w:jc w:val="both"/>
      <w:widowControl w:val="off"/>
    </w:pPr>
    <w:tblPr/>
  </w:style>
  <w:style w:type="table" w:styleId="996" w:customStyle="1">
    <w:name w:val="普通表格1"/>
    <w:uiPriority w:val="99"/>
    <w:unhideWhenUsed/>
    <w:qFormat/>
    <w:tblPr/>
  </w:style>
  <w:style w:type="paragraph" w:styleId="997" w:customStyle="1">
    <w:name w:val="正文文本缩进1"/>
    <w:basedOn w:val="688"/>
    <w:next w:val="998"/>
    <w:uiPriority w:val="0"/>
    <w:unhideWhenUsed/>
    <w:qFormat/>
    <w:pPr>
      <w:ind w:left="420"/>
      <w:spacing w:after="120"/>
    </w:pPr>
  </w:style>
  <w:style w:type="paragraph" w:styleId="998" w:customStyle="1">
    <w:name w:val="正文文本首行缩进 2"/>
    <w:basedOn w:val="997"/>
    <w:uiPriority w:val="0"/>
    <w:qFormat/>
    <w:pPr>
      <w:ind w:left="0" w:firstLine="420"/>
      <w:spacing w:after="0" w:line="360" w:lineRule="auto"/>
    </w:pPr>
    <w:rPr>
      <w:rFonts w:ascii="宋体" w:hAnsi="宋体"/>
      <w:sz w:val="20"/>
      <w:szCs w:val="20"/>
      <w:lang w:val="en-US" w:eastAsia="en-US"/>
    </w:rPr>
  </w:style>
  <w:style w:type="table" w:styleId="999" w:customStyle="1">
    <w:name w:val="Table Normal_0"/>
    <w:uiPriority w:val="0"/>
    <w:qFormat/>
    <w:tblPr/>
  </w:style>
  <w:style w:type="character" w:styleId="1000" w:customStyle="1">
    <w:name w:val="font51"/>
    <w:basedOn w:val="1001"/>
    <w:link w:val="688"/>
    <w:uiPriority w:val="0"/>
    <w:qFormat/>
    <w:rPr>
      <w:sz w:val="21"/>
      <w:szCs w:val="22"/>
      <w:lang w:val="en-US" w:eastAsia="zh-CN" w:bidi="ar-SA"/>
    </w:rPr>
  </w:style>
  <w:style w:type="character" w:styleId="1001" w:customStyle="1">
    <w:name w:val="默认段落字体11"/>
    <w:link w:val="688"/>
    <w:uiPriority w:val="1"/>
    <w:unhideWhenUsed/>
    <w:qFormat/>
  </w:style>
  <w:style w:type="character" w:styleId="1002" w:customStyle="1">
    <w:name w:val="15"/>
    <w:basedOn w:val="698"/>
    <w:uiPriority w:val="0"/>
    <w:qFormat/>
    <w:rPr>
      <w:rFonts w:hint="default" w:ascii="Times New Roman" w:hAnsi="Times New Roman" w:cs="Times New Roman"/>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高峰</cp:lastModifiedBy>
  <cp:revision>4</cp:revision>
  <dcterms:created xsi:type="dcterms:W3CDTF">2023-03-16T02:13:00Z</dcterms:created>
  <dcterms:modified xsi:type="dcterms:W3CDTF">2025-11-13T07:59:30Z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70186653147B4130A3181A4B5D9ED537_12</vt:lpwstr>
  </property>
</Properties>
</file>